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rPr>
          <w:rFonts w:hint="eastAsia" w:ascii="Calibri" w:hAnsi="Calibri" w:eastAsia="方正小标宋简体" w:cs="Times New Roman"/>
          <w:spacing w:val="74"/>
          <w:kern w:val="2"/>
          <w:sz w:val="21"/>
          <w:szCs w:val="24"/>
          <w:lang w:val="en-US" w:eastAsia="zh-CN" w:bidi="ar-SA"/>
        </w:rPr>
      </w:pPr>
    </w:p>
    <w:p>
      <w:pPr>
        <w:pStyle w:val="2"/>
        <w:rPr>
          <w:rFonts w:hint="eastAsia" w:ascii="Calibri" w:hAnsi="Calibri" w:eastAsia="方正小标宋简体" w:cs="Times New Roman"/>
          <w:spacing w:val="74"/>
          <w:kern w:val="2"/>
          <w:sz w:val="21"/>
          <w:szCs w:val="24"/>
          <w:lang w:val="en-US" w:eastAsia="zh-CN" w:bidi="ar-SA"/>
        </w:rPr>
      </w:pPr>
    </w:p>
    <w:p>
      <w:pPr>
        <w:rPr>
          <w:rFonts w:hint="eastAsia" w:ascii="Calibri" w:hAnsi="Calibri" w:eastAsia="方正小标宋简体" w:cs="Times New Roman"/>
          <w:spacing w:val="74"/>
          <w:kern w:val="2"/>
          <w:sz w:val="21"/>
          <w:szCs w:val="24"/>
          <w:lang w:val="en-US" w:eastAsia="zh-CN" w:bidi="ar-SA"/>
        </w:rPr>
      </w:pPr>
    </w:p>
    <w:p>
      <w:pPr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1965"/>
          <w:tab w:val="right" w:pos="8965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宋体" w:eastAsia="仿宋_GB2312" w:cs="宋体"/>
          <w:b w:val="0"/>
          <w:bCs w:val="0"/>
          <w:spacing w:val="12"/>
          <w:sz w:val="32"/>
          <w:szCs w:val="32"/>
        </w:rPr>
      </w:pPr>
      <w:r>
        <w:rPr>
          <w:rFonts w:hint="eastAsia" w:ascii="仿宋_GB2312" w:hAnsi="宋体" w:eastAsia="仿宋_GB2312" w:cs="宋体"/>
          <w:b w:val="0"/>
          <w:bCs w:val="0"/>
          <w:spacing w:val="12"/>
          <w:sz w:val="32"/>
          <w:szCs w:val="32"/>
          <w:lang w:eastAsia="zh-CN"/>
        </w:rPr>
        <w:tab/>
      </w:r>
      <w:r>
        <w:rPr>
          <w:rFonts w:hint="eastAsia" w:ascii="仿宋_GB2312" w:hAnsi="宋体" w:eastAsia="仿宋_GB2312" w:cs="宋体"/>
          <w:b w:val="0"/>
          <w:bCs w:val="0"/>
          <w:spacing w:val="12"/>
          <w:sz w:val="32"/>
          <w:szCs w:val="32"/>
          <w:lang w:val="en-US" w:eastAsia="zh-CN"/>
        </w:rPr>
        <w:t xml:space="preserve">                   大署函〔2025〕</w:t>
      </w:r>
      <w:r>
        <w:rPr>
          <w:rFonts w:hint="default" w:ascii="仿宋_GB2312" w:hAnsi="宋体" w:eastAsia="仿宋_GB2312" w:cs="宋体"/>
          <w:b w:val="0"/>
          <w:bCs w:val="0"/>
          <w:spacing w:val="12"/>
          <w:sz w:val="32"/>
          <w:szCs w:val="32"/>
          <w:lang w:eastAsia="zh-CN"/>
        </w:rPr>
        <w:t>121</w:t>
      </w:r>
      <w:r>
        <w:rPr>
          <w:rFonts w:hint="eastAsia" w:ascii="仿宋_GB2312" w:hAnsi="宋体" w:eastAsia="仿宋_GB2312" w:cs="宋体"/>
          <w:b w:val="0"/>
          <w:bCs w:val="0"/>
          <w:spacing w:val="12"/>
          <w:sz w:val="32"/>
          <w:szCs w:val="32"/>
          <w:lang w:val="en-US" w:eastAsia="zh-CN"/>
        </w:rPr>
        <w:t>号</w:t>
      </w:r>
    </w:p>
    <w:p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default" w:ascii="方正小标宋简体" w:eastAsia="方正小标宋简体" w:cs="方正小标宋简体"/>
          <w:bCs/>
          <w:sz w:val="44"/>
          <w:szCs w:val="44"/>
          <w:lang w:bidi="ar-SA"/>
        </w:rPr>
      </w:pPr>
      <w:r>
        <w:rPr>
          <w:rFonts w:hint="default" w:ascii="方正小标宋简体" w:eastAsia="方正小标宋简体" w:cs="方正小标宋简体"/>
          <w:bCs/>
          <w:sz w:val="44"/>
          <w:szCs w:val="44"/>
          <w:lang w:bidi="ar-SA"/>
        </w:rPr>
        <w:t>大兴安岭地区行署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ascii="方正小标宋简体" w:eastAsia="方正小标宋简体" w:cs="方正小标宋简体"/>
          <w:bCs/>
          <w:sz w:val="44"/>
          <w:szCs w:val="44"/>
          <w:lang w:bidi="ar-SA"/>
        </w:rPr>
      </w:pPr>
      <w:r>
        <w:rPr>
          <w:rFonts w:hint="eastAsia" w:ascii="方正小标宋简体" w:eastAsia="方正小标宋简体" w:cs="方正小标宋简体"/>
          <w:bCs/>
          <w:sz w:val="44"/>
          <w:szCs w:val="44"/>
          <w:lang w:bidi="ar-SA"/>
        </w:rPr>
        <w:t>关于延续</w:t>
      </w:r>
      <w:r>
        <w:rPr>
          <w:rFonts w:ascii="方正小标宋简体" w:eastAsia="方正小标宋简体" w:cs="方正小标宋简体"/>
          <w:bCs/>
          <w:sz w:val="44"/>
          <w:szCs w:val="44"/>
          <w:lang w:bidi="ar-SA"/>
        </w:rPr>
        <w:t>龙江第一湾景区</w:t>
      </w:r>
      <w:r>
        <w:rPr>
          <w:rFonts w:ascii="Times New Roman" w:hAnsi="Times New Roman" w:eastAsia="方正小标宋_GBK" w:cs="Times New Roman"/>
          <w:color w:val="000000"/>
          <w:sz w:val="40"/>
          <w:szCs w:val="40"/>
          <w:lang w:val="en-US" w:eastAsia="zh-CN"/>
        </w:rPr>
        <w:t>观光车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eastAsia="方正小标宋_GBK"/>
          <w:color w:val="000000"/>
          <w:sz w:val="40"/>
          <w:szCs w:val="40"/>
        </w:rPr>
      </w:pPr>
      <w:r>
        <w:rPr>
          <w:rFonts w:ascii="Times New Roman" w:hAnsi="Times New Roman" w:eastAsia="方正小标宋_GBK" w:cs="Times New Roman"/>
          <w:color w:val="000000"/>
          <w:sz w:val="40"/>
          <w:szCs w:val="40"/>
          <w:lang w:val="en-US" w:eastAsia="zh-CN"/>
        </w:rPr>
        <w:t>车票</w:t>
      </w:r>
      <w:r>
        <w:rPr>
          <w:rFonts w:hint="eastAsia" w:ascii="Times New Roman" w:hAnsi="Times New Roman" w:eastAsia="方正小标宋_GBK" w:cs="Times New Roman"/>
          <w:color w:val="000000"/>
          <w:sz w:val="40"/>
          <w:szCs w:val="40"/>
          <w:lang w:val="en-US" w:eastAsia="zh-CN"/>
        </w:rPr>
        <w:t>价格</w:t>
      </w:r>
      <w:r>
        <w:rPr>
          <w:rFonts w:hint="eastAsia" w:ascii="方正小标宋简体" w:eastAsia="方正小标宋简体" w:cs="方正小标宋简体"/>
          <w:bCs/>
          <w:sz w:val="44"/>
          <w:szCs w:val="44"/>
          <w:lang w:bidi="ar-SA"/>
        </w:rPr>
        <w:t>等有关事项的批复</w:t>
      </w:r>
    </w:p>
    <w:p>
      <w:pPr>
        <w:pStyle w:val="1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方正小标宋简体" w:eastAsia="方正小标宋简体" w:cs="方正小标宋简体"/>
          <w:sz w:val="44"/>
          <w:szCs w:val="44"/>
          <w:lang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eastAsia="仿宋_GB2312" w:cs="仿宋_GB2312"/>
          <w:sz w:val="32"/>
          <w:szCs w:val="32"/>
          <w:lang w:val="en-US" w:eastAsia="zh-CN" w:bidi="ar-SA"/>
        </w:rPr>
      </w:pPr>
      <w:r>
        <w:rPr>
          <w:rFonts w:ascii="仿宋_GB2312" w:eastAsia="仿宋_GB2312" w:cs="仿宋_GB2312"/>
          <w:sz w:val="32"/>
          <w:szCs w:val="32"/>
          <w:lang w:val="en-US" w:eastAsia="zh-CN" w:bidi="ar-SA"/>
        </w:rPr>
        <w:t>漠河市</w:t>
      </w:r>
      <w:r>
        <w:rPr>
          <w:rFonts w:hint="eastAsia" w:ascii="仿宋_GB2312" w:eastAsia="仿宋_GB2312" w:cs="仿宋_GB2312"/>
          <w:sz w:val="32"/>
          <w:szCs w:val="32"/>
          <w:lang w:val="en-US" w:eastAsia="zh-CN" w:bidi="ar-SA"/>
        </w:rPr>
        <w:t>人民政府：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eastAsia="仿宋_GB2312" w:cs="仿宋_GB2312"/>
          <w:sz w:val="32"/>
          <w:szCs w:val="32"/>
          <w:lang w:eastAsia="zh-CN" w:bidi="ar-SA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shd w:val="clear" w:color="auto" w:fill="auto"/>
          <w:lang w:val="en-US" w:eastAsia="zh-CN"/>
        </w:rPr>
        <w:t>《漠河市人民政府关于</w:t>
      </w:r>
      <w:r>
        <w:rPr>
          <w:rFonts w:ascii="仿宋_GB2312" w:hAnsi="仿宋_GB2312" w:eastAsia="仿宋_GB2312" w:cs="仿宋_GB2312"/>
          <w:bCs/>
          <w:sz w:val="32"/>
          <w:szCs w:val="32"/>
          <w:shd w:val="clear" w:color="auto" w:fill="auto"/>
          <w:lang w:val="en-US" w:eastAsia="zh-CN"/>
        </w:rPr>
        <w:t>图强林业局</w:t>
      </w:r>
      <w:r>
        <w:rPr>
          <w:rFonts w:hint="eastAsia" w:ascii="仿宋_GB2312" w:hAnsi="仿宋_GB2312" w:eastAsia="仿宋_GB2312" w:cs="仿宋_GB2312"/>
          <w:bCs/>
          <w:sz w:val="32"/>
          <w:szCs w:val="32"/>
          <w:shd w:val="clear" w:color="auto" w:fill="auto"/>
          <w:lang w:val="en-US" w:eastAsia="zh-CN"/>
        </w:rPr>
        <w:t>龙江第一湾</w:t>
      </w:r>
      <w:r>
        <w:rPr>
          <w:rFonts w:hint="default" w:ascii="仿宋_GB2312" w:hAnsi="仿宋_GB2312" w:eastAsia="仿宋_GB2312" w:cs="仿宋_GB2312"/>
          <w:bCs/>
          <w:sz w:val="32"/>
          <w:szCs w:val="32"/>
          <w:shd w:val="clear" w:color="auto" w:fill="auto"/>
          <w:lang w:eastAsia="zh-CN"/>
        </w:rPr>
        <w:t>景区</w:t>
      </w:r>
      <w:r>
        <w:rPr>
          <w:rFonts w:ascii="仿宋_GB2312" w:hAnsi="仿宋_GB2312" w:eastAsia="仿宋_GB2312" w:cs="仿宋_GB2312"/>
          <w:bCs/>
          <w:sz w:val="32"/>
          <w:szCs w:val="32"/>
          <w:shd w:val="clear" w:color="auto" w:fill="auto"/>
          <w:lang w:val="en-US" w:eastAsia="zh-CN"/>
        </w:rPr>
        <w:t>观光车票继续收费</w:t>
      </w:r>
      <w:r>
        <w:rPr>
          <w:rFonts w:hint="eastAsia" w:ascii="仿宋_GB2312" w:hAnsi="仿宋_GB2312" w:eastAsia="仿宋_GB2312" w:cs="仿宋_GB2312"/>
          <w:bCs/>
          <w:sz w:val="32"/>
          <w:szCs w:val="32"/>
          <w:shd w:val="clear" w:color="auto" w:fill="auto"/>
          <w:lang w:val="en-US" w:eastAsia="zh-CN"/>
        </w:rPr>
        <w:t>的请示》</w:t>
      </w:r>
      <w:r>
        <w:rPr>
          <w:rFonts w:hint="eastAsia" w:ascii="仿宋_GB2312" w:eastAsia="仿宋_GB2312" w:cs="仿宋_GB2312"/>
          <w:sz w:val="32"/>
          <w:szCs w:val="32"/>
          <w:lang w:val="en-US" w:eastAsia="zh-CN" w:bidi="ar-SA"/>
        </w:rPr>
        <w:t>（</w:t>
      </w:r>
      <w:r>
        <w:rPr>
          <w:rFonts w:hint="default" w:ascii="仿宋_GB2312" w:eastAsia="仿宋_GB2312" w:cs="仿宋_GB2312"/>
          <w:sz w:val="32"/>
          <w:szCs w:val="32"/>
          <w:lang w:eastAsia="zh-CN" w:bidi="ar-SA"/>
        </w:rPr>
        <w:t>漠政呈</w:t>
      </w:r>
      <w:r>
        <w:rPr>
          <w:rFonts w:hint="eastAsia" w:ascii="仿宋_GB2312" w:eastAsia="仿宋_GB2312" w:cs="仿宋_GB2312"/>
          <w:sz w:val="32"/>
          <w:szCs w:val="32"/>
          <w:lang w:val="en-US" w:eastAsia="zh-CN" w:bidi="ar-SA"/>
        </w:rPr>
        <w:t>〔202</w:t>
      </w:r>
      <w:r>
        <w:rPr>
          <w:rFonts w:hint="default" w:ascii="仿宋_GB2312" w:eastAsia="仿宋_GB2312" w:cs="仿宋_GB2312"/>
          <w:sz w:val="32"/>
          <w:szCs w:val="32"/>
          <w:lang w:eastAsia="zh-CN" w:bidi="ar-SA"/>
        </w:rPr>
        <w:t>5</w:t>
      </w:r>
      <w:r>
        <w:rPr>
          <w:rFonts w:hint="eastAsia" w:ascii="仿宋_GB2312" w:eastAsia="仿宋_GB2312" w:cs="仿宋_GB2312"/>
          <w:sz w:val="32"/>
          <w:szCs w:val="32"/>
          <w:lang w:val="en-US" w:eastAsia="zh-CN" w:bidi="ar-SA"/>
        </w:rPr>
        <w:t>〕</w:t>
      </w:r>
      <w:r>
        <w:rPr>
          <w:rFonts w:hint="default" w:ascii="仿宋_GB2312" w:eastAsia="仿宋_GB2312" w:cs="仿宋_GB2312"/>
          <w:sz w:val="32"/>
          <w:szCs w:val="32"/>
          <w:lang w:eastAsia="zh-CN" w:bidi="ar-SA"/>
        </w:rPr>
        <w:t>32</w:t>
      </w:r>
      <w:r>
        <w:rPr>
          <w:rFonts w:hint="eastAsia" w:ascii="仿宋_GB2312" w:eastAsia="仿宋_GB2312" w:cs="仿宋_GB2312"/>
          <w:sz w:val="32"/>
          <w:szCs w:val="32"/>
          <w:lang w:val="en-US" w:eastAsia="zh-CN" w:bidi="ar-SA"/>
        </w:rPr>
        <w:t>号）收悉，根据《黑龙江省定价目录》（黑发改规〔2023〕1号）、《黑龙江省游览参观点门票价格管理办法》（黑价经〔2011〕50号）精神，经研究，现将景区</w:t>
      </w:r>
      <w:r>
        <w:rPr>
          <w:rFonts w:ascii="仿宋_GB2312" w:eastAsia="仿宋_GB2312" w:cs="仿宋_GB2312"/>
          <w:sz w:val="32"/>
          <w:szCs w:val="32"/>
          <w:lang w:val="en-US" w:eastAsia="zh-CN" w:bidi="ar-SA"/>
        </w:rPr>
        <w:t>观光车</w:t>
      </w:r>
      <w:r>
        <w:rPr>
          <w:rFonts w:ascii="仿宋_GB2312" w:eastAsia="仿宋_GB2312" w:cs="仿宋_GB2312"/>
          <w:sz w:val="32"/>
          <w:szCs w:val="32"/>
          <w:lang w:eastAsia="zh-CN" w:bidi="ar-SA"/>
        </w:rPr>
        <w:t>车</w:t>
      </w:r>
      <w:r>
        <w:rPr>
          <w:rFonts w:hint="eastAsia" w:ascii="仿宋_GB2312" w:eastAsia="仿宋_GB2312" w:cs="仿宋_GB2312"/>
          <w:sz w:val="32"/>
          <w:szCs w:val="32"/>
          <w:lang w:val="en-US" w:eastAsia="zh-CN" w:bidi="ar-SA"/>
        </w:rPr>
        <w:t>票价格批复如下</w:t>
      </w:r>
      <w:r>
        <w:rPr>
          <w:rFonts w:hint="default" w:ascii="仿宋_GB2312" w:eastAsia="仿宋_GB2312" w:cs="仿宋_GB2312"/>
          <w:sz w:val="32"/>
          <w:szCs w:val="32"/>
          <w:lang w:eastAsia="zh-CN" w:bidi="ar-SA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eastAsia="黑体" w:cs="黑体"/>
          <w:sz w:val="32"/>
          <w:szCs w:val="32"/>
          <w:lang w:val="en-US" w:eastAsia="zh-CN" w:bidi="ar-SA"/>
        </w:rPr>
      </w:pPr>
      <w:r>
        <w:rPr>
          <w:rFonts w:hint="eastAsia" w:ascii="黑体" w:eastAsia="黑体" w:cs="黑体"/>
          <w:sz w:val="32"/>
          <w:szCs w:val="32"/>
          <w:lang w:val="en-US" w:eastAsia="zh-CN" w:bidi="ar-SA"/>
        </w:rPr>
        <w:t>一、门票价格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ascii="仿宋_GB2312" w:eastAsia="仿宋_GB2312" w:cs="仿宋_GB2312"/>
          <w:sz w:val="32"/>
          <w:szCs w:val="32"/>
          <w:lang w:bidi="ar-SA"/>
        </w:rPr>
        <w:t>龙江第一湾</w:t>
      </w:r>
      <w:r>
        <w:rPr>
          <w:rFonts w:hint="eastAsia" w:ascii="仿宋_GB2312" w:eastAsia="仿宋_GB2312" w:cs="仿宋_GB2312"/>
          <w:sz w:val="32"/>
          <w:szCs w:val="32"/>
          <w:lang w:bidi="ar-SA"/>
        </w:rPr>
        <w:t>景区</w:t>
      </w:r>
      <w:r>
        <w:rPr>
          <w:rFonts w:ascii="仿宋_GB2312" w:eastAsia="仿宋_GB2312" w:cs="仿宋_GB2312"/>
          <w:sz w:val="32"/>
          <w:szCs w:val="32"/>
          <w:lang w:bidi="ar-SA"/>
        </w:rPr>
        <w:t>观光车车票价格</w:t>
      </w:r>
      <w:r>
        <w:rPr>
          <w:rFonts w:hint="eastAsia" w:ascii="仿宋_GB2312" w:eastAsia="仿宋_GB2312" w:cs="仿宋_GB2312"/>
          <w:sz w:val="32"/>
          <w:szCs w:val="32"/>
          <w:lang w:bidi="ar-SA"/>
        </w:rPr>
        <w:t>每人次</w:t>
      </w:r>
      <w:r>
        <w:rPr>
          <w:rFonts w:ascii="仿宋_GB2312" w:eastAsia="仿宋_GB2312" w:cs="仿宋_GB2312"/>
          <w:sz w:val="32"/>
          <w:szCs w:val="32"/>
          <w:lang w:bidi="ar-SA"/>
        </w:rPr>
        <w:t>60</w:t>
      </w:r>
      <w:r>
        <w:rPr>
          <w:rFonts w:hint="eastAsia" w:ascii="仿宋_GB2312" w:eastAsia="仿宋_GB2312" w:cs="仿宋_GB2312"/>
          <w:sz w:val="32"/>
          <w:szCs w:val="32"/>
          <w:lang w:bidi="ar-SA"/>
        </w:rPr>
        <w:t>元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spacing w:line="560" w:lineRule="exact"/>
        <w:ind w:firstLine="640"/>
        <w:rPr>
          <w:rFonts w:hint="eastAsia" w:ascii="黑体" w:eastAsia="黑体" w:cs="黑体"/>
          <w:sz w:val="32"/>
          <w:szCs w:val="32"/>
          <w:lang w:bidi="ar-SA"/>
        </w:rPr>
      </w:pPr>
      <w:r>
        <w:rPr>
          <w:rFonts w:hint="eastAsia" w:ascii="黑体" w:eastAsia="黑体" w:cs="黑体"/>
          <w:sz w:val="32"/>
          <w:szCs w:val="32"/>
          <w:lang w:bidi="ar-SA"/>
        </w:rPr>
        <w:t>二、优惠政策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bCs/>
          <w:sz w:val="32"/>
          <w:szCs w:val="32"/>
          <w:shd w:val="clear" w:color="auto" w:fill="auto"/>
          <w:lang w:bidi="ar-SA"/>
        </w:rPr>
      </w:pPr>
      <w:r>
        <w:rPr>
          <w:rFonts w:ascii="仿宋_GB2312" w:hAnsi="仿宋_GB2312" w:eastAsia="仿宋_GB2312" w:cs="仿宋_GB2312"/>
          <w:bCs/>
          <w:sz w:val="32"/>
          <w:szCs w:val="32"/>
          <w:shd w:val="clear" w:color="auto" w:fill="auto"/>
          <w:lang w:bidi="ar-SA"/>
        </w:rPr>
        <w:t>对身高1.2米（含1.2米）以下的儿童，凭有效证件的6周岁（含6周岁）以下儿童、实行免观光车车票优惠。残疾军人、现役军人及家属凭有效证件、消防救援人员凭国家综合性消防救援队伍证，实行法定节假日观光车免票优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三、相关要求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 w:cs="仿宋_GB2312"/>
          <w:sz w:val="32"/>
          <w:szCs w:val="32"/>
        </w:rPr>
        <w:sectPr>
          <w:footerReference r:id="rId3" w:type="default"/>
          <w:pgSz w:w="11906" w:h="16838"/>
          <w:pgMar w:top="1134" w:right="1474" w:bottom="1134" w:left="1587" w:header="851" w:footer="992" w:gutter="0"/>
          <w:pgNumType w:fmt="decimal" w:start="2"/>
          <w:cols w:space="425" w:num="1"/>
          <w:docGrid w:type="lines" w:linePitch="312" w:charSpace="0"/>
        </w:sectPr>
      </w:pPr>
      <w:bookmarkStart w:id="0" w:name="_GoBack"/>
      <w:bookmarkEnd w:id="0"/>
      <w:r>
        <w:rPr>
          <w:rFonts w:hint="eastAsia" w:ascii="仿宋_GB2312" w:eastAsia="仿宋_GB2312" w:cs="仿宋_GB2312"/>
          <w:sz w:val="32"/>
          <w:szCs w:val="32"/>
        </w:rPr>
        <w:t>景区要严格执行明码标价制度，按规定在其官方网站、收费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场所显著位置公示收费依据、收费项目、收费标准、服务内容、监督投诉电话等信息。不得收取未予公示的任何费用，自觉接受社会和舆论监督。观光车服务属消费者自选项目，要本着游客自愿选择的原则，保障游客选择权，不得将门票、游览服务、保险等捆绑销售，不得价外加价或强制代收其他任何费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eastAsia="黑体" w:cs="黑体"/>
          <w:sz w:val="32"/>
          <w:szCs w:val="32"/>
          <w:lang w:val="en-US" w:eastAsia="zh-CN" w:bidi="ar-SA"/>
        </w:rPr>
      </w:pPr>
      <w:r>
        <w:rPr>
          <w:rFonts w:hint="eastAsia" w:ascii="黑体" w:eastAsia="黑体" w:cs="黑体"/>
          <w:sz w:val="32"/>
          <w:szCs w:val="32"/>
        </w:rPr>
        <w:t>四、执</w:t>
      </w:r>
      <w:r>
        <w:rPr>
          <w:rFonts w:hint="eastAsia" w:ascii="黑体" w:eastAsia="黑体" w:cs="黑体"/>
          <w:sz w:val="32"/>
          <w:szCs w:val="32"/>
          <w:lang w:val="en-US" w:eastAsia="zh-CN" w:bidi="ar-SA"/>
        </w:rPr>
        <w:t>行日期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-SA"/>
        </w:rPr>
        <w:t>本批复自文件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 w:bidi="ar-SA"/>
        </w:rPr>
        <w:t>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-SA"/>
        </w:rPr>
        <w:t>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 w:bidi="ar-SA"/>
        </w:rPr>
        <w:t>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-SA"/>
        </w:rPr>
        <w:t>日起执行。执行期间，国家和省如出台新的相关政策，从其规定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tabs>
          <w:tab w:val="left" w:pos="6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bidi="ar-SA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bidi="ar-SA"/>
        </w:rPr>
        <w:t xml:space="preserve">    此复。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bidi="ar-SA"/>
        </w:rPr>
      </w:pPr>
    </w:p>
    <w:p>
      <w:pPr>
        <w:pStyle w:val="12"/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26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bidi="ar-SA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-SA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eastAsia="zh-CN" w:bidi="ar-SA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-SA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 w:bidi="ar-SA"/>
        </w:rPr>
        <w:t>黑龙江省</w:t>
      </w:r>
      <w:r>
        <w:rPr>
          <w:rFonts w:hint="eastAsia" w:ascii="仿宋_GB2312" w:hAnsi="仿宋_GB2312" w:eastAsia="仿宋_GB2312" w:cs="仿宋_GB2312"/>
          <w:sz w:val="32"/>
          <w:szCs w:val="32"/>
        </w:rPr>
        <w:t>大兴安岭地区行</w:t>
      </w:r>
      <w:r>
        <w:rPr>
          <w:rFonts w:hint="default" w:ascii="仿宋_GB2312" w:hAnsi="仿宋_GB2312" w:eastAsia="仿宋_GB2312" w:cs="仿宋_GB2312"/>
          <w:sz w:val="32"/>
          <w:szCs w:val="32"/>
        </w:rPr>
        <w:t>政公</w:t>
      </w:r>
      <w:r>
        <w:rPr>
          <w:rFonts w:hint="eastAsia" w:ascii="仿宋_GB2312" w:hAnsi="仿宋_GB2312" w:eastAsia="仿宋_GB2312" w:cs="仿宋_GB2312"/>
          <w:sz w:val="32"/>
          <w:szCs w:val="32"/>
        </w:rPr>
        <w:t>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2025年12月1</w:t>
      </w:r>
      <w:r>
        <w:rPr>
          <w:rFonts w:hint="default" w:ascii="仿宋_GB2312" w:hAnsi="仿宋_GB2312" w:eastAsia="仿宋_GB2312" w:cs="仿宋_GB2312"/>
          <w:sz w:val="32"/>
          <w:szCs w:val="32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eastAsia="zh-CN"/>
        </w:rPr>
      </w:pPr>
    </w:p>
    <w:p>
      <w:pPr>
        <w:pStyle w:val="2"/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pStyle w:val="2"/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pStyle w:val="2"/>
        <w:rPr>
          <w:rFonts w:hint="eastAsia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textAlignment w:val="auto"/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u w:val="none" w:color="00000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-88900</wp:posOffset>
                </wp:positionH>
                <wp:positionV relativeFrom="paragraph">
                  <wp:posOffset>389890</wp:posOffset>
                </wp:positionV>
                <wp:extent cx="5715000" cy="635"/>
                <wp:effectExtent l="0" t="0" r="0" b="0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7pt;margin-top:30.7pt;height:0.05pt;width:450pt;z-index:251666432;mso-width-relative:page;mso-height-relative:page;" filled="f" stroked="t" coordsize="21600,21600" o:gfxdata="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BYAAABkcnMvUEsBAhQAFAAAAAgA&#10;h07iQI1ReADXAAAACQEAAA8AAAAAAAAAAQAgAAAAOAAAAGRycy9kb3ducmV2LnhtbFBLAQIUABQA&#10;AAAIAIdO4kASW/+q2wEAAJoDAAAOAAAAAAAAAAEAIAAAADwBAABkcnMvZTJvRG9jLnhtbFBLBQYA&#10;AAAABgAGAFkBAACJ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u w:val="none" w:color="00000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-89535</wp:posOffset>
                </wp:positionH>
                <wp:positionV relativeFrom="paragraph">
                  <wp:posOffset>17780</wp:posOffset>
                </wp:positionV>
                <wp:extent cx="5715000" cy="635"/>
                <wp:effectExtent l="0" t="0" r="0" b="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7.05pt;margin-top:1.4pt;height:0.05pt;width:450pt;z-index:251665408;mso-width-relative:page;mso-height-relative:page;" filled="f" stroked="t" coordsize="21600,21600" o:gfxdata="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FgAAAGRycy9QSwECFAAUAAAACACH&#10;TuJAHzYyFtUAAAAHAQAADwAAAAAAAAABACAAAAA4AAAAZHJzL2Rvd25yZXYueG1sUEsBAhQAFAAA&#10;AAgAh07iQPypsuLcAQAAmAMAAA4AAAAAAAAAAQAgAAAAOgEAAGRycy9lMm9Eb2MueG1sUEsFBgAA&#10;AAAGAAYAWQEAAIg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大兴安岭地区行署办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>公室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 xml:space="preserve">       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 xml:space="preserve">   2025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年</w:t>
      </w:r>
      <w:r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>12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1</w:t>
      </w:r>
      <w:r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>7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日印发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kern w:val="2"/>
          <w:sz w:val="28"/>
          <w:szCs w:val="28"/>
          <w:lang w:val="en-US" w:eastAsia="zh-CN" w:bidi="ar-SA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 xml:space="preserve"> </w:t>
      </w:r>
    </w:p>
    <w:sectPr>
      <w:footerReference r:id="rId4" w:type="default"/>
      <w:pgSz w:w="11906" w:h="16838"/>
      <w:pgMar w:top="2098" w:right="1474" w:bottom="1984" w:left="1587" w:header="851" w:footer="992" w:gutter="0"/>
      <w:pgNumType w:fmt="decimal" w:start="2"/>
      <w:cols w:space="0" w:num="1"/>
      <w:rtlGutter w:val="0"/>
      <w:docGrid w:type="lines" w:linePitch="70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409" w:lineRule="exact"/>
      <w:rPr>
        <w:rFonts w:ascii="仿宋" w:hAnsi="仿宋" w:eastAsia="仿宋" w:cs="仿宋"/>
        <w:sz w:val="31"/>
        <w:szCs w:val="31"/>
      </w:rPr>
    </w:pPr>
    <w:r>
      <w:rPr>
        <w:sz w:val="31"/>
      </w:rPr>
      <mc:AlternateContent>
        <mc:Choice Requires="wps">
          <w:drawing>
            <wp:anchor distT="0" distB="0" distL="114300" distR="114300" simplePos="0" relativeHeight="251789312" behindDoc="0" locked="0" layoutInCell="1" allowOverlap="1">
              <wp:simplePos x="0" y="0"/>
              <wp:positionH relativeFrom="margin">
                <wp:posOffset>30480</wp:posOffset>
              </wp:positionH>
              <wp:positionV relativeFrom="paragraph">
                <wp:posOffset>-250190</wp:posOffset>
              </wp:positionV>
              <wp:extent cx="518795" cy="403225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4032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default" w:eastAsiaTheme="minorEastAsia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lang w:val="en-US" w:eastAsia="zh-CN"/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.4pt;margin-top:-19.7pt;height:31.75pt;width:40.85pt;mso-position-horizontal-relative:margin;z-index:251789312;mso-width-relative:page;mso-height-relative:page;" filled="f" stroked="f" coordsize="21600,21600" o:gfxdata="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BYAAABkcnMvUEsBAhQA&#10;FAAAAAgAh07iQBJ+vI3WAAAABwEAAA8AAAAAAAAAAQAgAAAAOAAAAGRycy9kb3ducmV2LnhtbFBL&#10;AQIUABQAAAAIAIdO4kDc0dfbGwIAABUEAAAOAAAAAAAAAAEAIAAAADs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2"/>
                      <w:rPr>
                        <w:rFonts w:hint="default" w:eastAsiaTheme="minorEastAsia"/>
                        <w:lang w:val="en-US" w:eastAsia="zh-CN"/>
                      </w:rPr>
                    </w:pPr>
                    <w:r>
                      <w:rPr>
                        <w:rFonts w:hint="eastAsia"/>
                        <w:lang w:val="en-US" w:eastAsia="zh-CN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409" w:lineRule="exact"/>
      <w:rPr>
        <w:rFonts w:ascii="仿宋" w:hAnsi="仿宋" w:eastAsia="仿宋" w:cs="仿宋"/>
        <w:sz w:val="31"/>
        <w:szCs w:val="31"/>
      </w:rPr>
    </w:pPr>
    <w:r>
      <w:rPr>
        <w:sz w:val="31"/>
      </w:rPr>
      <mc:AlternateContent>
        <mc:Choice Requires="wps">
          <w:drawing>
            <wp:anchor distT="0" distB="0" distL="114300" distR="114300" simplePos="0" relativeHeight="251923456" behindDoc="0" locked="0" layoutInCell="1" allowOverlap="1">
              <wp:simplePos x="0" y="0"/>
              <wp:positionH relativeFrom="margin">
                <wp:posOffset>39370</wp:posOffset>
              </wp:positionH>
              <wp:positionV relativeFrom="paragraph">
                <wp:posOffset>-139065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.1pt;margin-top:-10.95pt;height:144pt;width:144pt;mso-position-horizontal-relative:margin;mso-wrap-style:none;z-index:251923456;mso-width-relative:page;mso-height-relative:page;" filled="f" stroked="f" coordsize="21600,21600" o:gfxdata="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BYAAABkcnMvUEsBAhQAFAAAAAgAh07i&#10;QFQOLfLWAAAACQEAAA8AAAAAAAAAAQAgAAAAOAAAAGRycy9kb3ducmV2LnhtbFBLAQIUABQAAAAI&#10;AIdO4kBK283/EgIAABMEAAAOAAAAAAAAAAEAIAAAADsBAABkcnMvZTJvRG9jLnhtbFBLBQYAAAAA&#10;BgAGAFkBAAC/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  <w:r>
      <w:rPr>
        <w:sz w:val="31"/>
      </w:rPr>
      <mc:AlternateContent>
        <mc:Choice Requires="wps">
          <w:drawing>
            <wp:anchor distT="0" distB="0" distL="114300" distR="114300" simplePos="0" relativeHeight="251922432" behindDoc="0" locked="0" layoutInCell="1" allowOverlap="1">
              <wp:simplePos x="0" y="0"/>
              <wp:positionH relativeFrom="margin">
                <wp:posOffset>30480</wp:posOffset>
              </wp:positionH>
              <wp:positionV relativeFrom="paragraph">
                <wp:posOffset>-250190</wp:posOffset>
              </wp:positionV>
              <wp:extent cx="518795" cy="403225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4032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default" w:eastAsiaTheme="minorEastAsia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lang w:val="en-US" w:eastAsia="zh-CN"/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.4pt;margin-top:-19.7pt;height:31.75pt;width:40.85pt;mso-position-horizontal-relative:margin;z-index:251922432;mso-width-relative:page;mso-height-relative:page;" filled="f" stroked="f" coordsize="21600,21600" o:gfxdata="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WAAAAZHJzL1BLAQIU&#10;ABQAAAAIAIdO4kASfryN1gAAAAcBAAAPAAAAAAAAAAEAIAAAADgAAABkcnMvZG93bnJldi54bWxQ&#10;SwECFAAUAAAACACHTuJAWy8eMBwCAAAVBAAADgAAAAAAAAABACAAAAA7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2"/>
                      <w:rPr>
                        <w:rFonts w:hint="default" w:eastAsiaTheme="minorEastAsia"/>
                        <w:lang w:val="en-US" w:eastAsia="zh-CN"/>
                      </w:rPr>
                    </w:pPr>
                    <w:r>
                      <w:rPr>
                        <w:rFonts w:hint="eastAsia"/>
                        <w:lang w:val="en-US" w:eastAsia="zh-CN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354"/>
  <w:displayHorizontalDrawingGridEvery w:val="1"/>
  <w:displayVerticalDrawingGridEvery w:val="2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g1MWYyZjM0MGVmOWJkMTY3OWUzMjIyNWM0YWFmMzEifQ=="/>
  </w:docVars>
  <w:rsids>
    <w:rsidRoot w:val="519F1114"/>
    <w:rsid w:val="00766354"/>
    <w:rsid w:val="04487067"/>
    <w:rsid w:val="070D3824"/>
    <w:rsid w:val="08855EA9"/>
    <w:rsid w:val="0A3851CE"/>
    <w:rsid w:val="0BCD50E1"/>
    <w:rsid w:val="0E270571"/>
    <w:rsid w:val="0EBE4F11"/>
    <w:rsid w:val="10601025"/>
    <w:rsid w:val="11883E53"/>
    <w:rsid w:val="13507C4D"/>
    <w:rsid w:val="138F0B1F"/>
    <w:rsid w:val="139525D9"/>
    <w:rsid w:val="16FA09A5"/>
    <w:rsid w:val="173870B1"/>
    <w:rsid w:val="18805260"/>
    <w:rsid w:val="197E5AC5"/>
    <w:rsid w:val="1A563640"/>
    <w:rsid w:val="1B0C0A88"/>
    <w:rsid w:val="1B485BA7"/>
    <w:rsid w:val="1BB05BB9"/>
    <w:rsid w:val="1D602D56"/>
    <w:rsid w:val="1E3D5D47"/>
    <w:rsid w:val="1E7E3BC8"/>
    <w:rsid w:val="1F2121D3"/>
    <w:rsid w:val="1F3025CC"/>
    <w:rsid w:val="1F546F50"/>
    <w:rsid w:val="20240A94"/>
    <w:rsid w:val="220A3A35"/>
    <w:rsid w:val="22A35694"/>
    <w:rsid w:val="22D623DA"/>
    <w:rsid w:val="237B69CA"/>
    <w:rsid w:val="25FA5EE8"/>
    <w:rsid w:val="26887D7C"/>
    <w:rsid w:val="28355CE1"/>
    <w:rsid w:val="29862A38"/>
    <w:rsid w:val="2B344126"/>
    <w:rsid w:val="2C5E51BB"/>
    <w:rsid w:val="2E331933"/>
    <w:rsid w:val="2E8A57EA"/>
    <w:rsid w:val="2F581430"/>
    <w:rsid w:val="2FFDD749"/>
    <w:rsid w:val="2FFF2CEE"/>
    <w:rsid w:val="2FFF60B6"/>
    <w:rsid w:val="30121DEE"/>
    <w:rsid w:val="31800C17"/>
    <w:rsid w:val="31950990"/>
    <w:rsid w:val="331C6CDA"/>
    <w:rsid w:val="33A64101"/>
    <w:rsid w:val="36CF5679"/>
    <w:rsid w:val="36FF3A83"/>
    <w:rsid w:val="38C60FFD"/>
    <w:rsid w:val="39003169"/>
    <w:rsid w:val="3A0F69B6"/>
    <w:rsid w:val="3A7F4B06"/>
    <w:rsid w:val="3B9E0B07"/>
    <w:rsid w:val="3BB940F8"/>
    <w:rsid w:val="3BCBDFBA"/>
    <w:rsid w:val="3C1513FA"/>
    <w:rsid w:val="3CE31C11"/>
    <w:rsid w:val="3D205262"/>
    <w:rsid w:val="3F7FC9D0"/>
    <w:rsid w:val="40155F72"/>
    <w:rsid w:val="42131118"/>
    <w:rsid w:val="43CFDF6B"/>
    <w:rsid w:val="44250560"/>
    <w:rsid w:val="448A6B79"/>
    <w:rsid w:val="44C45FCB"/>
    <w:rsid w:val="483A63D2"/>
    <w:rsid w:val="49397A24"/>
    <w:rsid w:val="4B823782"/>
    <w:rsid w:val="4C0309E6"/>
    <w:rsid w:val="4DC5711D"/>
    <w:rsid w:val="4E380879"/>
    <w:rsid w:val="4E915170"/>
    <w:rsid w:val="4EB66FD8"/>
    <w:rsid w:val="4FC60E49"/>
    <w:rsid w:val="519F1114"/>
    <w:rsid w:val="525A21D0"/>
    <w:rsid w:val="52795D32"/>
    <w:rsid w:val="52DF95B7"/>
    <w:rsid w:val="52FF5F8B"/>
    <w:rsid w:val="53FDF41F"/>
    <w:rsid w:val="543839BE"/>
    <w:rsid w:val="548051B1"/>
    <w:rsid w:val="5559450E"/>
    <w:rsid w:val="561F417C"/>
    <w:rsid w:val="569357FD"/>
    <w:rsid w:val="56FC3B73"/>
    <w:rsid w:val="58A727BF"/>
    <w:rsid w:val="593A0E1B"/>
    <w:rsid w:val="59D83A25"/>
    <w:rsid w:val="5EC0115A"/>
    <w:rsid w:val="5F25DFB3"/>
    <w:rsid w:val="5F2D2A2D"/>
    <w:rsid w:val="5FDB3EC1"/>
    <w:rsid w:val="5FF81680"/>
    <w:rsid w:val="604F6C39"/>
    <w:rsid w:val="60A92A6A"/>
    <w:rsid w:val="60D65160"/>
    <w:rsid w:val="61C40F61"/>
    <w:rsid w:val="640F0BB9"/>
    <w:rsid w:val="67ABE312"/>
    <w:rsid w:val="6AA05BF2"/>
    <w:rsid w:val="6D6A3304"/>
    <w:rsid w:val="6D6F89BB"/>
    <w:rsid w:val="6E1F58A5"/>
    <w:rsid w:val="6EA14B04"/>
    <w:rsid w:val="6EEE17DC"/>
    <w:rsid w:val="6EFE7023"/>
    <w:rsid w:val="6F297204"/>
    <w:rsid w:val="6FD5473A"/>
    <w:rsid w:val="71FF23E1"/>
    <w:rsid w:val="71FF7054"/>
    <w:rsid w:val="72435ED2"/>
    <w:rsid w:val="72B1108D"/>
    <w:rsid w:val="732B471B"/>
    <w:rsid w:val="74C218BA"/>
    <w:rsid w:val="74EB2C86"/>
    <w:rsid w:val="75EE607A"/>
    <w:rsid w:val="760C32EE"/>
    <w:rsid w:val="76A834CD"/>
    <w:rsid w:val="795124C5"/>
    <w:rsid w:val="797D616D"/>
    <w:rsid w:val="7A76298D"/>
    <w:rsid w:val="7B193F76"/>
    <w:rsid w:val="7B75B174"/>
    <w:rsid w:val="7BBCDB69"/>
    <w:rsid w:val="7BC57958"/>
    <w:rsid w:val="7BF33008"/>
    <w:rsid w:val="7BFF25DB"/>
    <w:rsid w:val="7BFFE3B9"/>
    <w:rsid w:val="7CE45676"/>
    <w:rsid w:val="7CEF723D"/>
    <w:rsid w:val="7D67CED4"/>
    <w:rsid w:val="7DF700C9"/>
    <w:rsid w:val="7DFE5584"/>
    <w:rsid w:val="7E5F26BC"/>
    <w:rsid w:val="7E5F3F6A"/>
    <w:rsid w:val="7E6C620A"/>
    <w:rsid w:val="7EEB1B16"/>
    <w:rsid w:val="7F7F1B02"/>
    <w:rsid w:val="7F9B17BB"/>
    <w:rsid w:val="7FAA39CD"/>
    <w:rsid w:val="7FCFE05D"/>
    <w:rsid w:val="7FD83651"/>
    <w:rsid w:val="7FE598B2"/>
    <w:rsid w:val="7FF73B7C"/>
    <w:rsid w:val="7FFB8F11"/>
    <w:rsid w:val="7FFCFC09"/>
    <w:rsid w:val="8B7B0DC6"/>
    <w:rsid w:val="8DEBD44A"/>
    <w:rsid w:val="A7330D80"/>
    <w:rsid w:val="A76FF63D"/>
    <w:rsid w:val="AF59AE92"/>
    <w:rsid w:val="AFFB8BF8"/>
    <w:rsid w:val="B3D52465"/>
    <w:rsid w:val="B4FF4BC8"/>
    <w:rsid w:val="B55688E7"/>
    <w:rsid w:val="B6F52494"/>
    <w:rsid w:val="BBEF8777"/>
    <w:rsid w:val="E8DBCF7A"/>
    <w:rsid w:val="EADF41FD"/>
    <w:rsid w:val="EF589A31"/>
    <w:rsid w:val="F0BE44FE"/>
    <w:rsid w:val="F36B23E2"/>
    <w:rsid w:val="F77FA0C6"/>
    <w:rsid w:val="F7BBCD7D"/>
    <w:rsid w:val="F7FFA232"/>
    <w:rsid w:val="F9D124AF"/>
    <w:rsid w:val="FAA5FF50"/>
    <w:rsid w:val="FBB236B4"/>
    <w:rsid w:val="FCA368CA"/>
    <w:rsid w:val="FD4D0756"/>
    <w:rsid w:val="FDFF4D63"/>
    <w:rsid w:val="FE33B6CA"/>
    <w:rsid w:val="FEB31D9E"/>
    <w:rsid w:val="FEFFD495"/>
    <w:rsid w:val="FF263B2C"/>
    <w:rsid w:val="FF6FB4B5"/>
    <w:rsid w:val="FFAF76B8"/>
    <w:rsid w:val="FFFE38F6"/>
    <w:rsid w:val="FFFE72DE"/>
    <w:rsid w:val="FFFECB60"/>
    <w:rsid w:val="FFFFC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cs="方正小标宋简体" w:asciiTheme="minorHAnsi" w:hAnsiTheme="minorHAnsi" w:eastAsiaTheme="minorEastAsia"/>
      <w:kern w:val="13"/>
      <w:sz w:val="52"/>
      <w:szCs w:val="5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qFormat/>
    <w:uiPriority w:val="9"/>
    <w:pPr>
      <w:keepNext/>
      <w:keepLines/>
      <w:widowControl/>
      <w:spacing w:before="260" w:after="260" w:line="416" w:lineRule="auto"/>
      <w:jc w:val="left"/>
      <w:outlineLvl w:val="1"/>
    </w:pPr>
    <w:rPr>
      <w:rFonts w:ascii="等线 Light" w:hAnsi="等线 Light" w:eastAsia="等线 Light"/>
      <w:b/>
      <w:bCs/>
      <w:kern w:val="0"/>
      <w:sz w:val="32"/>
      <w:szCs w:val="32"/>
    </w:rPr>
  </w:style>
  <w:style w:type="character" w:default="1" w:styleId="17">
    <w:name w:val="Default Paragraph Font"/>
    <w:semiHidden/>
    <w:qFormat/>
    <w:uiPriority w:val="0"/>
  </w:style>
  <w:style w:type="table" w:default="1" w:styleId="1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table of authorities"/>
    <w:basedOn w:val="1"/>
    <w:next w:val="1"/>
    <w:qFormat/>
    <w:uiPriority w:val="0"/>
    <w:pPr>
      <w:ind w:left="420" w:leftChars="200"/>
    </w:pPr>
  </w:style>
  <w:style w:type="paragraph" w:styleId="6">
    <w:name w:val="Normal Indent"/>
    <w:basedOn w:val="1"/>
    <w:qFormat/>
    <w:uiPriority w:val="0"/>
    <w:pPr>
      <w:ind w:firstLine="630"/>
    </w:pPr>
    <w:rPr>
      <w:kern w:val="0"/>
    </w:rPr>
  </w:style>
  <w:style w:type="paragraph" w:styleId="7">
    <w:name w:val="Body Text"/>
    <w:basedOn w:val="1"/>
    <w:next w:val="8"/>
    <w:semiHidden/>
    <w:unhideWhenUsed/>
    <w:qFormat/>
    <w:uiPriority w:val="99"/>
    <w:pPr>
      <w:spacing w:after="120"/>
    </w:pPr>
  </w:style>
  <w:style w:type="paragraph" w:styleId="8">
    <w:name w:val="Date"/>
    <w:basedOn w:val="1"/>
    <w:next w:val="1"/>
    <w:qFormat/>
    <w:uiPriority w:val="0"/>
    <w:pPr>
      <w:ind w:left="100" w:leftChars="2500"/>
    </w:pPr>
    <w:rPr>
      <w:rFonts w:ascii="Times New Roman" w:hAnsi="Times New Roman" w:eastAsia="宋体" w:cs="Times New Roman"/>
    </w:rPr>
  </w:style>
  <w:style w:type="paragraph" w:styleId="9">
    <w:name w:val="Body Text Indent"/>
    <w:basedOn w:val="1"/>
    <w:qFormat/>
    <w:uiPriority w:val="0"/>
    <w:pPr>
      <w:spacing w:after="120"/>
      <w:ind w:left="420" w:leftChars="200"/>
    </w:p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1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2">
    <w:name w:val="Title"/>
    <w:basedOn w:val="1"/>
    <w:next w:val="1"/>
    <w:qFormat/>
    <w:uiPriority w:val="0"/>
    <w:pPr>
      <w:widowControl w:val="0"/>
      <w:spacing w:before="240" w:after="60"/>
      <w:jc w:val="center"/>
      <w:textAlignment w:val="baseline"/>
    </w:pPr>
    <w:rPr>
      <w:rFonts w:ascii="Arial" w:hAnsi="Arial" w:eastAsia="宋体" w:cs="Arial"/>
      <w:bCs/>
      <w:kern w:val="2"/>
      <w:sz w:val="32"/>
      <w:szCs w:val="32"/>
      <w:lang w:val="en-US" w:eastAsia="zh-CN" w:bidi="ar-SA"/>
    </w:rPr>
  </w:style>
  <w:style w:type="paragraph" w:styleId="13">
    <w:name w:val="Body Text First Indent"/>
    <w:basedOn w:val="7"/>
    <w:next w:val="1"/>
    <w:qFormat/>
    <w:uiPriority w:val="0"/>
    <w:pPr>
      <w:tabs>
        <w:tab w:val="left" w:pos="3972"/>
      </w:tabs>
      <w:spacing w:after="0" w:afterLines="0" w:line="588" w:lineRule="exact"/>
      <w:ind w:firstLine="880" w:firstLineChars="200"/>
    </w:pPr>
  </w:style>
  <w:style w:type="paragraph" w:styleId="14">
    <w:name w:val="Body Text First Indent 2"/>
    <w:basedOn w:val="9"/>
    <w:qFormat/>
    <w:uiPriority w:val="0"/>
    <w:pPr>
      <w:ind w:firstLine="420" w:firstLineChars="200"/>
    </w:pPr>
  </w:style>
  <w:style w:type="table" w:styleId="16">
    <w:name w:val="Table Grid"/>
    <w:basedOn w:val="1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Emphasis"/>
    <w:basedOn w:val="17"/>
    <w:qFormat/>
    <w:uiPriority w:val="0"/>
  </w:style>
  <w:style w:type="character" w:styleId="19">
    <w:name w:val="Hyperlink"/>
    <w:basedOn w:val="17"/>
    <w:qFormat/>
    <w:uiPriority w:val="0"/>
    <w:rPr>
      <w:color w:val="0000FF"/>
      <w:u w:val="single"/>
    </w:rPr>
  </w:style>
  <w:style w:type="paragraph" w:customStyle="1" w:styleId="20">
    <w:name w:val="目录 81"/>
    <w:next w:val="1"/>
    <w:qFormat/>
    <w:uiPriority w:val="99"/>
    <w:pPr>
      <w:wordWrap w:val="0"/>
      <w:ind w:left="2975"/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  <w:style w:type="paragraph" w:customStyle="1" w:styleId="21">
    <w:name w:val="列出段落1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0"/>
    </w:rPr>
  </w:style>
  <w:style w:type="character" w:customStyle="1" w:styleId="22">
    <w:name w:val="NormalCharacter"/>
    <w:qFormat/>
    <w:uiPriority w:val="0"/>
    <w:rPr>
      <w:rFonts w:ascii="Times New Roman" w:hAnsi="Times New Roman" w:eastAsia="宋体"/>
    </w:rPr>
  </w:style>
  <w:style w:type="paragraph" w:customStyle="1" w:styleId="23">
    <w:name w:val="样式 文字 + 首行缩进:  2 字符3"/>
    <w:basedOn w:val="1"/>
    <w:qFormat/>
    <w:uiPriority w:val="0"/>
    <w:pPr>
      <w:spacing w:line="360" w:lineRule="auto"/>
      <w:jc w:val="left"/>
    </w:pPr>
    <w:rPr>
      <w:rFonts w:ascii="等线" w:hAnsi="等线" w:eastAsia="等线"/>
      <w:sz w:val="28"/>
      <w:szCs w:val="28"/>
    </w:rPr>
  </w:style>
  <w:style w:type="table" w:customStyle="1" w:styleId="2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5">
    <w:name w:val="Body text|1"/>
    <w:basedOn w:val="1"/>
    <w:qFormat/>
    <w:uiPriority w:val="0"/>
    <w:pPr>
      <w:widowControl w:val="0"/>
      <w:shd w:val="clear" w:color="auto" w:fill="auto"/>
      <w:spacing w:after="340" w:line="480" w:lineRule="auto"/>
      <w:ind w:firstLine="400"/>
    </w:pPr>
    <w:rPr>
      <w:rFonts w:ascii="宋体" w:hAnsi="宋体" w:eastAsia="宋体" w:cs="宋体"/>
      <w:sz w:val="22"/>
      <w:szCs w:val="22"/>
      <w:u w:val="none"/>
      <w:shd w:val="clear" w:color="auto" w:fill="auto"/>
      <w:lang w:val="zh-TW" w:eastAsia="zh-TW" w:bidi="zh-TW"/>
    </w:rPr>
  </w:style>
  <w:style w:type="paragraph" w:customStyle="1" w:styleId="26">
    <w:name w:val="Heading #1|1"/>
    <w:basedOn w:val="1"/>
    <w:qFormat/>
    <w:uiPriority w:val="0"/>
    <w:pPr>
      <w:widowControl w:val="0"/>
      <w:shd w:val="clear" w:color="auto" w:fill="auto"/>
      <w:spacing w:after="190"/>
      <w:outlineLvl w:val="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27">
    <w:name w:val="首页1"/>
    <w:basedOn w:val="1"/>
    <w:qFormat/>
    <w:uiPriority w:val="0"/>
    <w:rPr>
      <w:rFonts w:ascii="宋体" w:hAnsi="宋体" w:eastAsia="宋体" w:cs="Times New Roman"/>
      <w:szCs w:val="21"/>
    </w:rPr>
  </w:style>
  <w:style w:type="paragraph" w:customStyle="1" w:styleId="28">
    <w:name w:val="说明1"/>
    <w:basedOn w:val="1"/>
    <w:next w:val="1"/>
    <w:qFormat/>
    <w:uiPriority w:val="0"/>
    <w:pPr>
      <w:widowControl/>
      <w:spacing w:before="100" w:beforeAutospacing="1" w:after="100" w:afterAutospacing="1"/>
      <w:ind w:left="283"/>
      <w:jc w:val="left"/>
    </w:pPr>
    <w:rPr>
      <w:rFonts w:ascii="宋体" w:hAnsi="宋体" w:eastAsia="宋体" w:cs="Arial"/>
      <w:b/>
      <w:kern w:val="0"/>
      <w:szCs w:val="21"/>
    </w:rPr>
  </w:style>
  <w:style w:type="paragraph" w:customStyle="1" w:styleId="29">
    <w:name w:val="秘密紧急"/>
    <w:basedOn w:val="1"/>
    <w:qFormat/>
    <w:uiPriority w:val="0"/>
    <w:pPr>
      <w:jc w:val="right"/>
    </w:pPr>
    <w:rPr>
      <w:rFonts w:ascii="黑体" w:eastAsia="黑体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1242</Words>
  <Characters>1459</Characters>
  <Lines>0</Lines>
  <Paragraphs>0</Paragraphs>
  <TotalTime>11</TotalTime>
  <ScaleCrop>false</ScaleCrop>
  <LinksUpToDate>false</LinksUpToDate>
  <CharactersWithSpaces>1517</CharactersWithSpaces>
  <Application>WPS Office_11.8.2.9339_F1E327BC-269C-435d-A152-05C5408002CA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2022-09-08T15:03:00Z</dcterms:created>
  <dc:creator>小明</dc:creator>
  <cp:lastModifiedBy>dxal</cp:lastModifiedBy>
  <cp:lastPrinted>2024-01-27T23:41:00Z</cp:lastPrinted>
  <dcterms:modified xsi:type="dcterms:W3CDTF">2025-12-17T14:33:26Z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2052-11.8.2.9339</vt:lpwstr>
  </property>
  <property fmtid="{D5CDD505-2E9C-101B-9397-08002B2CF9AE}" pid="3" name="ICV">
    <vt:lpwstr>33AFF6B345124E2F83D86669684BEE0F</vt:lpwstr>
  </property>
</Properties>
</file>