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大署函〔202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36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44"/>
          <w:szCs w:val="44"/>
          <w:lang w:bidi="ar-SA"/>
        </w:rPr>
      </w:pPr>
      <w:r>
        <w:rPr>
          <w:rFonts w:ascii="方正小标宋简体" w:eastAsia="方正小标宋简体" w:cs="方正小标宋简体"/>
          <w:bCs/>
          <w:sz w:val="44"/>
          <w:szCs w:val="44"/>
          <w:lang w:bidi="ar-SA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关于延续</w:t>
      </w:r>
      <w:r>
        <w:rPr>
          <w:rFonts w:ascii="方正小标宋简体" w:eastAsia="方正小标宋简体" w:cs="方正小标宋简体"/>
          <w:bCs/>
          <w:sz w:val="44"/>
          <w:szCs w:val="44"/>
          <w:lang w:bidi="ar-SA"/>
        </w:rPr>
        <w:t>百泉谷景区</w:t>
      </w: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门票价格等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bidi="ar-SA"/>
        </w:rPr>
        <w:t>有关事项的批复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sz w:val="32"/>
          <w:szCs w:val="32"/>
          <w:lang w:eastAsia="zh-CN" w:bidi="ar-SA"/>
        </w:rPr>
        <w:t>地区发改委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《关于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制定百泉谷景区门票价格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的请示》（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大署发改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呈〔202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〕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号）收悉</w:t>
      </w:r>
      <w:r>
        <w:rPr>
          <w:rFonts w:hint="default" w:ascii="仿宋_GB2312" w:eastAsia="仿宋_GB2312" w:cs="仿宋_GB2312"/>
          <w:sz w:val="32"/>
          <w:szCs w:val="32"/>
          <w:lang w:eastAsia="zh-CN" w:bidi="ar-SA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根据《黑龙江省定价目录》（黑发改规〔2023〕1号）、《黑龙江省游览参观点门票价格管理办法》（黑价经〔2011〕50号）文件精神，现将景区门票价格批复如下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一、门票价格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旺季（4月20日—10月20日）每人次45元；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淡季（10月21日—次年4月19日）每人次25元。</w:t>
      </w:r>
    </w:p>
    <w:p>
      <w:pPr>
        <w:spacing w:line="560" w:lineRule="exact"/>
        <w:ind w:firstLine="64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二、门票优惠政策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（一）对身高1.2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（含1.2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）以下的儿童，凭有效证件的6周岁（含6周岁）以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下儿童、65周岁（含65周岁）以上老年人、残疾人、现役军人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及家属、退役军人、消防救援人员、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烈士遗属、因公牺牲军人遗属、病故军人遗属</w:t>
      </w:r>
      <w:r>
        <w:rPr>
          <w:rFonts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其他优抚对象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，实行免门票优惠。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（二）凭有效证件的6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周岁</w:t>
      </w:r>
      <w:r>
        <w:rPr>
          <w:rFonts w:ascii="仿宋_GB2312" w:hAnsi="仿宋_GB2312" w:eastAsia="仿宋_GB2312" w:cs="仿宋_GB2312"/>
          <w:sz w:val="32"/>
          <w:szCs w:val="32"/>
        </w:rPr>
        <w:t>（不含 6 周岁）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18周岁（含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18周岁）未成年人、60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（含60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）—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未满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65周岁老年人、全日制大学本科及以下学历学生，实行门票半价优惠。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（三）鼓励景区设立公众免费开放日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每季度第二个月第二个星期的星期二确定为全省统一免费开放日，免费向所有游客开放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，结合自身特点扩大门票价格优惠范围和优惠力度，自行开展的优惠或促销活动应及时告知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行署和地区发改委。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景区要严格执行明码标价规定，在售票处醒目位置公示门票价格及优惠政策、批准文号、消费者投诉电话12315等信息，自觉接受社会监督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四、执行日期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本批复自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文件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印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发</w:t>
      </w:r>
      <w:r>
        <w:rPr>
          <w:rFonts w:ascii="仿宋_GB2312" w:eastAsia="仿宋_GB2312" w:cs="仿宋_GB2312"/>
          <w:sz w:val="32"/>
          <w:szCs w:val="32"/>
          <w:lang w:eastAsia="zh-CN" w:bidi="ar-SA"/>
        </w:rPr>
        <w:t>之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日起执行</w:t>
      </w:r>
      <w:r>
        <w:rPr>
          <w:rFonts w:ascii="仿宋_GB2312" w:eastAsia="仿宋_GB2312" w:cs="仿宋_GB2312"/>
          <w:sz w:val="32"/>
          <w:szCs w:val="32"/>
          <w:lang w:val="en-US" w:eastAsia="zh-CN" w:bidi="ar-SA"/>
        </w:rPr>
        <w:t>，有效期3年。执行期间，国家和省如出台新的相关政策，从其规定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</w:pPr>
    </w:p>
    <w:p>
      <w:pPr>
        <w:keepNext w:val="0"/>
        <w:keepLines w:val="0"/>
        <w:pageBreakBefore w:val="0"/>
        <w:widowControl w:val="0"/>
        <w:tabs>
          <w:tab w:val="left" w:pos="263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方正小标宋简体"/>
          <w:sz w:val="32"/>
          <w:szCs w:val="32"/>
          <w:lang w:val="en-US" w:eastAsia="zh-CN" w:bidi="ar-SA"/>
        </w:rPr>
        <w:t>黑龙江省</w:t>
      </w:r>
      <w:r>
        <w:rPr>
          <w:rFonts w:hint="eastAsia" w:ascii="仿宋_GB2312" w:eastAsia="仿宋_GB2312"/>
          <w:sz w:val="32"/>
          <w:szCs w:val="32"/>
        </w:rPr>
        <w:t>大兴安岭地区行</w:t>
      </w:r>
      <w:r>
        <w:rPr>
          <w:rFonts w:ascii="仿宋_GB2312" w:eastAsia="仿宋_GB2312"/>
          <w:sz w:val="32"/>
          <w:szCs w:val="32"/>
        </w:rPr>
        <w:t>政公</w:t>
      </w:r>
      <w:r>
        <w:rPr>
          <w:rFonts w:hint="eastAsia" w:ascii="仿宋_GB2312" w:eastAsia="仿宋_GB2312"/>
          <w:sz w:val="32"/>
          <w:szCs w:val="32"/>
        </w:rPr>
        <w:t>署</w:t>
      </w:r>
      <w:r>
        <w:rPr>
          <w:rFonts w:hint="default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default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218969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-196215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5.45pt;height:144pt;width:144pt;mso-position-horizontal-relative:margin;mso-wrap-style:none;z-index:252189696;mso-width-relative:page;mso-height-relative:page;" filled="f" stroked="f" coordsize="21600,21600" o:gfxdata="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ukFVL9cAAAAJAQAADwAAAAAAAAABACAAAAA4AAAAZHJzL2Rvd25yZXYueG1sUEsBAhQAFAAA&#10;AAgAh07iQEiTvZETAgAAFQQAAA4AAAAAAAAAAQAgAAAAP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218867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218867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CeeUA0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06BDB"/>
    <w:multiLevelType w:val="multilevel"/>
    <w:tmpl w:val="66E06BDB"/>
    <w:lvl w:ilvl="0" w:tentative="0">
      <w:start w:val="1"/>
      <w:numFmt w:val="chineseCountingThousand"/>
      <w:lvlText w:val="（%1）"/>
      <w:lvlJc w:val="left"/>
      <w:pPr>
        <w:ind w:left="1600" w:hanging="96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BFE0957"/>
    <w:rsid w:val="5DBEE54B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9FF7EC08"/>
    <w:rsid w:val="A7330D80"/>
    <w:rsid w:val="A76FF63D"/>
    <w:rsid w:val="AF59AE92"/>
    <w:rsid w:val="AFFB8BF8"/>
    <w:rsid w:val="B3D52465"/>
    <w:rsid w:val="B4FF4BC8"/>
    <w:rsid w:val="B55688E7"/>
    <w:rsid w:val="B6F52494"/>
    <w:rsid w:val="B79A5BB5"/>
    <w:rsid w:val="BBEF8777"/>
    <w:rsid w:val="BEDDF9FC"/>
    <w:rsid w:val="E0E5DE26"/>
    <w:rsid w:val="E8DBCF7A"/>
    <w:rsid w:val="EADF41FD"/>
    <w:rsid w:val="EF589A31"/>
    <w:rsid w:val="F0BE44FE"/>
    <w:rsid w:val="F36B23E2"/>
    <w:rsid w:val="F69D88E5"/>
    <w:rsid w:val="F77FA0C6"/>
    <w:rsid w:val="F7BBCD7D"/>
    <w:rsid w:val="F7FC53C7"/>
    <w:rsid w:val="F7FF3861"/>
    <w:rsid w:val="F7FFA232"/>
    <w:rsid w:val="F9CF2864"/>
    <w:rsid w:val="F9D124AF"/>
    <w:rsid w:val="FAA5FF50"/>
    <w:rsid w:val="FB6FD459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Arial" w:hAnsi="Arial" w:eastAsia="宋体" w:cs="Arial"/>
      <w:bCs/>
      <w:kern w:val="2"/>
      <w:sz w:val="32"/>
      <w:szCs w:val="32"/>
      <w:lang w:val="en-US" w:eastAsia="zh-CN" w:bidi="ar-SA"/>
    </w:rPr>
  </w:style>
  <w:style w:type="paragraph" w:styleId="13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8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9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11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2022-09-10T07:03:00Z</dcterms:created>
  <dc:creator>小明</dc:creator>
  <cp:lastModifiedBy>dxal</cp:lastModifiedBy>
  <cp:lastPrinted>2026-04-29T23:54:00Z</cp:lastPrinted>
  <dcterms:modified xsi:type="dcterms:W3CDTF">2026-04-29T16:55:30Z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