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60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b/>
          <w:bCs/>
          <w:kern w:val="0"/>
          <w:sz w:val="32"/>
          <w:szCs w:val="32"/>
          <w:lang w:val="en-US" w:eastAsia="zh-CN"/>
        </w:rPr>
      </w:pPr>
      <w:bookmarkStart w:id="0" w:name="_GoBack"/>
      <w:r>
        <w:rPr>
          <w:rFonts w:hint="eastAsia" w:ascii="仿宋" w:hAnsi="仿宋" w:eastAsia="仿宋" w:cs="仿宋"/>
          <w:b/>
          <w:bCs/>
          <w:kern w:val="0"/>
          <w:sz w:val="32"/>
          <w:szCs w:val="32"/>
          <w:lang w:val="en-US" w:eastAsia="zh-CN" w:bidi="ar-SA"/>
        </w:rPr>
        <w:t>6.</w:t>
      </w:r>
      <w:r>
        <w:rPr>
          <w:rFonts w:hint="eastAsia" w:ascii="仿宋" w:hAnsi="仿宋" w:eastAsia="仿宋" w:cs="仿宋"/>
          <w:b/>
          <w:bCs/>
          <w:kern w:val="0"/>
          <w:sz w:val="32"/>
          <w:szCs w:val="32"/>
          <w:lang w:val="en-US" w:eastAsia="zh-CN"/>
        </w:rPr>
        <w:t>大兴安岭地区服务个体工商户发展提升若干举措的通知(2024年7月9日）</w:t>
      </w:r>
    </w:p>
    <w:bookmarkEnd w:id="0"/>
    <w:p w14:paraId="4A0699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大市监联发〔2024</w:t>
      </w:r>
      <w:r>
        <w:rPr>
          <w:rFonts w:hint="eastAsia" w:ascii="仿宋" w:hAnsi="仿宋" w:eastAsia="仿宋" w:cs="仿宋"/>
          <w:b w:val="0"/>
          <w:bCs w:val="0"/>
          <w:kern w:val="0"/>
          <w:sz w:val="21"/>
          <w:szCs w:val="21"/>
          <w:lang w:val="en-US" w:eastAsia="zh-CN"/>
        </w:rPr>
        <w:t>〕</w:t>
      </w:r>
      <w:r>
        <w:rPr>
          <w:rFonts w:hint="eastAsia" w:ascii="宋体" w:hAnsi="宋体" w:eastAsia="宋体" w:cs="宋体"/>
          <w:b w:val="0"/>
          <w:bCs w:val="0"/>
          <w:kern w:val="0"/>
          <w:sz w:val="21"/>
          <w:szCs w:val="21"/>
          <w:lang w:val="en-US" w:eastAsia="zh-CN"/>
        </w:rPr>
        <w:t>16号</w:t>
      </w:r>
    </w:p>
    <w:p w14:paraId="47EB126F">
      <w:pPr>
        <w:keepNext w:val="0"/>
        <w:keepLines w:val="0"/>
        <w:pageBreakBefore w:val="0"/>
        <w:widowControl/>
        <w:kinsoku w:val="0"/>
        <w:wordWrap/>
        <w:overflowPunct/>
        <w:topLinePunct w:val="0"/>
        <w:autoSpaceDE w:val="0"/>
        <w:autoSpaceDN w:val="0"/>
        <w:bidi w:val="0"/>
        <w:adjustRightInd w:val="0"/>
        <w:snapToGrid w:val="0"/>
        <w:spacing w:before="108" w:line="440" w:lineRule="exact"/>
        <w:jc w:val="left"/>
        <w:textAlignment w:val="baseline"/>
        <w:rPr>
          <w:rFonts w:hint="eastAsia" w:ascii="宋体" w:hAnsi="宋体" w:eastAsia="宋体" w:cs="宋体"/>
          <w:snapToGrid w:val="0"/>
          <w:color w:val="000000"/>
          <w:spacing w:val="0"/>
          <w:kern w:val="0"/>
          <w:sz w:val="21"/>
          <w:szCs w:val="21"/>
          <w:lang w:eastAsia="en-US"/>
        </w:rPr>
      </w:pPr>
      <w:r>
        <w:rPr>
          <w:rFonts w:hint="eastAsia" w:ascii="宋体" w:hAnsi="宋体" w:eastAsia="宋体" w:cs="宋体"/>
          <w:snapToGrid w:val="0"/>
          <w:color w:val="000000"/>
          <w:spacing w:val="0"/>
          <w:kern w:val="0"/>
          <w:sz w:val="21"/>
          <w:szCs w:val="21"/>
          <w:lang w:eastAsia="zh-CN"/>
        </w:rPr>
        <w:t>各县（市、区）人民政府，中省直、地直各有关单位</w:t>
      </w:r>
      <w:r>
        <w:rPr>
          <w:rFonts w:hint="eastAsia" w:ascii="宋体" w:hAnsi="宋体" w:eastAsia="宋体" w:cs="宋体"/>
          <w:snapToGrid w:val="0"/>
          <w:color w:val="000000"/>
          <w:spacing w:val="0"/>
          <w:kern w:val="0"/>
          <w:sz w:val="21"/>
          <w:szCs w:val="21"/>
          <w:lang w:eastAsia="en-US"/>
        </w:rPr>
        <w:t>：</w:t>
      </w:r>
    </w:p>
    <w:p w14:paraId="081D002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spacing w:val="0"/>
          <w:kern w:val="0"/>
          <w:sz w:val="21"/>
          <w:szCs w:val="21"/>
          <w:lang w:val="en-US" w:eastAsia="en-US"/>
        </w:rPr>
      </w:pPr>
      <w:r>
        <w:rPr>
          <w:rFonts w:hint="eastAsia" w:ascii="宋体" w:hAnsi="宋体" w:eastAsia="宋体" w:cs="宋体"/>
          <w:snapToGrid w:val="0"/>
          <w:color w:val="000000"/>
          <w:spacing w:val="0"/>
          <w:kern w:val="0"/>
          <w:sz w:val="21"/>
          <w:szCs w:val="21"/>
          <w:lang w:eastAsia="en-US"/>
        </w:rPr>
        <w:t>为贯彻党中央、国务院、省委省政府及地委行署关于促进个体工商户发展的决策部署，按照《黑龙江省开展个体工商户分型分类精准帮扶实施方案》要求，大兴安岭地区印发《大兴安岭地区服务个体工商户发展提升若干举措的通知》，请结合实际，认真贯彻执行。</w:t>
      </w:r>
    </w:p>
    <w:p w14:paraId="33156F91">
      <w:pPr>
        <w:pStyle w:val="3"/>
        <w:keepNext w:val="0"/>
        <w:keepLines w:val="0"/>
        <w:pageBreakBefore w:val="0"/>
        <w:widowControl w:val="0"/>
        <w:kinsoku/>
        <w:wordWrap/>
        <w:overflowPunct/>
        <w:topLinePunct w:val="0"/>
        <w:autoSpaceDE/>
        <w:autoSpaceDN/>
        <w:bidi w:val="0"/>
        <w:adjustRightInd/>
        <w:snapToGrid/>
        <w:spacing w:before="143" w:line="440" w:lineRule="exact"/>
        <w:jc w:val="both"/>
        <w:textAlignment w:val="auto"/>
        <w:rPr>
          <w:rFonts w:hint="eastAsia" w:ascii="宋体" w:hAnsi="宋体" w:eastAsia="宋体" w:cs="宋体"/>
          <w:spacing w:val="5"/>
          <w:kern w:val="2"/>
          <w:sz w:val="21"/>
          <w:szCs w:val="21"/>
          <w:lang w:val="en-US" w:eastAsia="zh-CN" w:bidi="ar-SA"/>
        </w:rPr>
      </w:pPr>
    </w:p>
    <w:p w14:paraId="318A12F8">
      <w:pPr>
        <w:pStyle w:val="3"/>
        <w:keepNext w:val="0"/>
        <w:keepLines w:val="0"/>
        <w:pageBreakBefore w:val="0"/>
        <w:widowControl w:val="0"/>
        <w:kinsoku/>
        <w:wordWrap/>
        <w:overflowPunct/>
        <w:topLinePunct w:val="0"/>
        <w:autoSpaceDE/>
        <w:autoSpaceDN/>
        <w:bidi w:val="0"/>
        <w:adjustRightInd/>
        <w:snapToGrid/>
        <w:spacing w:before="143" w:line="440" w:lineRule="exact"/>
        <w:ind w:firstLine="442" w:firstLineChars="200"/>
        <w:jc w:val="center"/>
        <w:textAlignment w:val="auto"/>
        <w:rPr>
          <w:rFonts w:hint="eastAsia" w:ascii="宋体" w:hAnsi="宋体" w:eastAsia="宋体" w:cs="宋体"/>
          <w:sz w:val="21"/>
          <w:szCs w:val="21"/>
        </w:rPr>
      </w:pPr>
      <w:r>
        <w:rPr>
          <w:rFonts w:hint="eastAsia" w:ascii="宋体" w:hAnsi="宋体" w:eastAsia="宋体" w:cs="宋体"/>
          <w:b/>
          <w:bCs/>
          <w:spacing w:val="5"/>
          <w:kern w:val="2"/>
          <w:sz w:val="21"/>
          <w:szCs w:val="21"/>
          <w:lang w:val="en-US" w:eastAsia="zh-CN" w:bidi="ar-SA"/>
        </w:rPr>
        <w:t>大兴安岭地区服务个体工商户发展提升若干举措</w:t>
      </w:r>
    </w:p>
    <w:p w14:paraId="09F8AA9E">
      <w:pPr>
        <w:keepNext w:val="0"/>
        <w:keepLines w:val="0"/>
        <w:pageBreakBefore w:val="0"/>
        <w:widowControl w:val="0"/>
        <w:kinsoku/>
        <w:wordWrap/>
        <w:overflowPunct/>
        <w:topLinePunct w:val="0"/>
        <w:autoSpaceDE w:val="0"/>
        <w:autoSpaceDN w:val="0"/>
        <w:bidi w:val="0"/>
        <w:adjustRightInd/>
        <w:snapToGrid/>
        <w:spacing w:line="440" w:lineRule="exact"/>
        <w:ind w:left="0" w:firstLine="420" w:firstLineChars="200"/>
        <w:textAlignment w:val="auto"/>
        <w:rPr>
          <w:rFonts w:hint="eastAsia" w:ascii="宋体" w:hAnsi="宋体" w:eastAsia="宋体" w:cs="宋体"/>
          <w:b w:val="0"/>
          <w:bCs w:val="0"/>
          <w:color w:val="auto"/>
          <w:spacing w:val="0"/>
          <w:sz w:val="21"/>
          <w:szCs w:val="21"/>
          <w:u w:val="none"/>
          <w:lang w:val="en-US" w:eastAsia="zh-CN"/>
        </w:rPr>
      </w:pPr>
      <w:r>
        <w:rPr>
          <w:rFonts w:hint="eastAsia" w:ascii="宋体" w:hAnsi="宋体" w:eastAsia="宋体" w:cs="宋体"/>
          <w:b w:val="0"/>
          <w:bCs w:val="0"/>
          <w:color w:val="auto"/>
          <w:spacing w:val="0"/>
          <w:sz w:val="21"/>
          <w:szCs w:val="21"/>
          <w:u w:val="none"/>
          <w:lang w:val="en-US" w:eastAsia="zh-CN"/>
        </w:rPr>
        <w:t>为贯彻党中央、国务院、省委省政府及地委行署关于促进个体工商户发展的决策部署，激发个体工商户发展活力，推动个体工商户高质量发展，形成全社会支持个体工商户持续健康发展的良好氛围，根据《黑龙江省开展个体工商户分型分类精准帮扶实施方案》，现制定大兴安岭地区“名特优新”个体工商户分型分类精准</w:t>
      </w:r>
      <w:r>
        <w:rPr>
          <w:rFonts w:hint="eastAsia" w:ascii="宋体" w:hAnsi="宋体" w:eastAsia="宋体" w:cs="宋体"/>
          <w:b w:val="0"/>
          <w:bCs w:val="0"/>
          <w:color w:val="auto"/>
          <w:spacing w:val="0"/>
          <w:sz w:val="21"/>
          <w:szCs w:val="21"/>
          <w:highlight w:val="none"/>
          <w:u w:val="none"/>
          <w:lang w:val="en-US" w:eastAsia="zh-CN"/>
        </w:rPr>
        <w:t>帮扶政策措施二十条。</w:t>
      </w:r>
    </w:p>
    <w:p w14:paraId="161D6C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color w:val="auto"/>
          <w:spacing w:val="0"/>
          <w:sz w:val="21"/>
          <w:szCs w:val="21"/>
          <w:u w:val="none"/>
          <w:lang w:val="en-US" w:eastAsia="zh-CN"/>
        </w:rPr>
      </w:pPr>
      <w:r>
        <w:rPr>
          <w:rFonts w:hint="eastAsia" w:ascii="宋体" w:hAnsi="宋体" w:eastAsia="宋体" w:cs="宋体"/>
          <w:b/>
          <w:bCs/>
          <w:color w:val="auto"/>
          <w:spacing w:val="0"/>
          <w:kern w:val="2"/>
          <w:sz w:val="21"/>
          <w:szCs w:val="21"/>
          <w:lang w:val="en-US" w:eastAsia="zh-CN" w:bidi="ar-SA"/>
        </w:rPr>
        <w:t>一、</w:t>
      </w:r>
      <w:r>
        <w:rPr>
          <w:rFonts w:hint="eastAsia" w:ascii="宋体" w:hAnsi="宋体" w:eastAsia="宋体" w:cs="宋体"/>
          <w:b/>
          <w:bCs/>
          <w:color w:val="auto"/>
          <w:spacing w:val="0"/>
          <w:sz w:val="21"/>
          <w:szCs w:val="21"/>
          <w:u w:val="none"/>
          <w:lang w:val="en-US" w:eastAsia="zh-CN"/>
        </w:rPr>
        <w:t>降低个体工商户经营成本</w:t>
      </w:r>
    </w:p>
    <w:p w14:paraId="54B25E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auto"/>
          <w:spacing w:val="0"/>
          <w:sz w:val="21"/>
          <w:szCs w:val="21"/>
          <w:u w:val="none"/>
          <w:lang w:val="en-US" w:eastAsia="zh-CN"/>
        </w:rPr>
      </w:pPr>
      <w:r>
        <w:rPr>
          <w:rFonts w:hint="eastAsia" w:ascii="宋体" w:hAnsi="宋体" w:eastAsia="宋体" w:cs="宋体"/>
          <w:b w:val="0"/>
          <w:bCs w:val="0"/>
          <w:color w:val="auto"/>
          <w:spacing w:val="0"/>
          <w:sz w:val="21"/>
          <w:szCs w:val="21"/>
          <w:u w:val="none"/>
          <w:lang w:val="en-US" w:eastAsia="zh-CN"/>
        </w:rPr>
        <w:t>1.落实减半征收个人所得税政策。对个体工商户年应纳税所得额不超过200万元的部分，减半征收个人所得税。个体工商户在享受现行其他个人所得税优惠政策的基础上，可叠加享受本条优惠政策。执行时间至2027年12月31日。（责任单位：地区税务局）</w:t>
      </w:r>
    </w:p>
    <w:p w14:paraId="54826F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auto"/>
          <w:spacing w:val="0"/>
          <w:sz w:val="21"/>
          <w:szCs w:val="21"/>
          <w:u w:val="none"/>
          <w:lang w:val="en-US" w:eastAsia="zh-CN"/>
        </w:rPr>
      </w:pPr>
      <w:r>
        <w:rPr>
          <w:rFonts w:hint="eastAsia" w:ascii="宋体" w:hAnsi="宋体" w:eastAsia="宋体" w:cs="宋体"/>
          <w:b w:val="0"/>
          <w:bCs w:val="0"/>
          <w:color w:val="auto"/>
          <w:spacing w:val="0"/>
          <w:sz w:val="21"/>
          <w:szCs w:val="21"/>
          <w:u w:val="none"/>
          <w:lang w:val="en-US" w:eastAsia="zh-CN"/>
        </w:rPr>
        <w:t>2.落实“六税两费”减免政策。对增值税小规模纳税人、小型微利企业和个体工商户减半征收资源税（不含水资源税）、城市维护建设税、房产税、城镇土地使用税、印花税（不含证券交易印花税）、耕地占用税和教育费附加、地方教育附加。执行时间至2027年12月31日。（责任单位：地区税务局）</w:t>
      </w:r>
    </w:p>
    <w:p w14:paraId="10AB4B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auto"/>
          <w:spacing w:val="0"/>
          <w:sz w:val="21"/>
          <w:szCs w:val="21"/>
          <w:u w:val="none"/>
          <w:lang w:val="en-US" w:eastAsia="zh-CN"/>
        </w:rPr>
      </w:pPr>
      <w:r>
        <w:rPr>
          <w:rFonts w:hint="eastAsia" w:ascii="宋体" w:hAnsi="宋体" w:eastAsia="宋体" w:cs="宋体"/>
          <w:b w:val="0"/>
          <w:bCs w:val="0"/>
          <w:color w:val="auto"/>
          <w:spacing w:val="0"/>
          <w:sz w:val="21"/>
          <w:szCs w:val="21"/>
          <w:u w:val="none"/>
          <w:lang w:val="en-US" w:eastAsia="zh-CN"/>
        </w:rPr>
        <w:t>3.增值税小规模纳税人、小型微利企业和个体工商户已依法享受资源税、城市维护建设税、房产税、城镇土地使用税、印花税、耕地占用税、教育费附加、地方教育附加等其他优惠政策的，可叠加享受本举措第二条规定的优惠政策。（责任单位：地区税务局）</w:t>
      </w:r>
    </w:p>
    <w:p w14:paraId="61C8D9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auto"/>
          <w:spacing w:val="0"/>
          <w:sz w:val="21"/>
          <w:szCs w:val="21"/>
          <w:u w:val="none"/>
          <w:lang w:val="en-US" w:eastAsia="zh-CN"/>
        </w:rPr>
      </w:pPr>
      <w:r>
        <w:rPr>
          <w:rFonts w:hint="eastAsia" w:ascii="宋体" w:hAnsi="宋体" w:eastAsia="宋体" w:cs="宋体"/>
          <w:b w:val="0"/>
          <w:bCs w:val="0"/>
          <w:color w:val="auto"/>
          <w:spacing w:val="0"/>
          <w:sz w:val="21"/>
          <w:szCs w:val="21"/>
          <w:u w:val="none"/>
          <w:lang w:val="en-US" w:eastAsia="zh-CN"/>
        </w:rPr>
        <w:t>4.落实增值税小规模纳税人月销售额10万元以下免征增值税政策。对月销售额10万元以下(含本数)的增值税小规模纳税人免征增值税。执行期至2027年12月31日。（责任单位：地区税务局）</w:t>
      </w:r>
    </w:p>
    <w:p w14:paraId="4E842E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auto"/>
          <w:spacing w:val="0"/>
          <w:sz w:val="21"/>
          <w:szCs w:val="21"/>
          <w:u w:val="none"/>
          <w:lang w:val="en-US" w:eastAsia="zh-CN"/>
        </w:rPr>
      </w:pPr>
      <w:r>
        <w:rPr>
          <w:rFonts w:hint="eastAsia" w:ascii="宋体" w:hAnsi="宋体" w:eastAsia="宋体" w:cs="宋体"/>
          <w:b w:val="0"/>
          <w:bCs w:val="0"/>
          <w:color w:val="auto"/>
          <w:spacing w:val="0"/>
          <w:sz w:val="21"/>
          <w:szCs w:val="21"/>
          <w:u w:val="none"/>
          <w:lang w:val="en-US" w:eastAsia="zh-CN"/>
        </w:rPr>
        <w:t>5.落实增值税小规模纳税人适用3%征收率的应税销售收入减按1%征收增值税政策。增值税小规模纳税人适用3% 征收率的应税销售收入，减按1% 征收率征收增值税;适用3% 预征率的预缴增值税项目，减按1% 预征率预缴增值税。执行期至2027年12月31日。（责任单位：地区税务局）</w:t>
      </w:r>
    </w:p>
    <w:p w14:paraId="67DB826A">
      <w:pPr>
        <w:keepNext w:val="0"/>
        <w:keepLines w:val="0"/>
        <w:pageBreakBefore w:val="0"/>
        <w:widowControl w:val="0"/>
        <w:numPr>
          <w:ilvl w:val="0"/>
          <w:numId w:val="0"/>
        </w:numPr>
        <w:kinsoku/>
        <w:wordWrap/>
        <w:overflowPunct/>
        <w:topLinePunct w:val="0"/>
        <w:bidi w:val="0"/>
        <w:adjustRightInd/>
        <w:snapToGrid w:val="0"/>
        <w:spacing w:line="440" w:lineRule="exact"/>
        <w:ind w:left="0" w:leftChars="0" w:firstLine="422" w:firstLineChars="200"/>
        <w:jc w:val="left"/>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二、健全个体工商户服务体系</w:t>
      </w:r>
    </w:p>
    <w:p w14:paraId="0AB51C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auto"/>
          <w:spacing w:val="0"/>
          <w:sz w:val="21"/>
          <w:szCs w:val="21"/>
          <w:u w:val="none"/>
          <w:lang w:val="en-US" w:eastAsia="zh-CN"/>
        </w:rPr>
      </w:pPr>
      <w:r>
        <w:rPr>
          <w:rFonts w:hint="eastAsia" w:ascii="宋体" w:hAnsi="宋体" w:eastAsia="宋体" w:cs="宋体"/>
          <w:b w:val="0"/>
          <w:bCs w:val="0"/>
          <w:color w:val="auto"/>
          <w:spacing w:val="0"/>
          <w:sz w:val="21"/>
          <w:szCs w:val="21"/>
          <w:u w:val="none"/>
          <w:lang w:val="en-US" w:eastAsia="zh-CN"/>
        </w:rPr>
        <w:t>6.优化知识产权服务和保护，提升商标申请便利度。加强对个体工商户商标管理、知识产权保护、品牌规划、品牌运营的指导。（责任单位：地区知识产权局）</w:t>
      </w:r>
    </w:p>
    <w:p w14:paraId="14FF65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auto"/>
          <w:spacing w:val="0"/>
          <w:sz w:val="21"/>
          <w:szCs w:val="21"/>
          <w:u w:val="none"/>
          <w:lang w:val="en-US" w:eastAsia="zh-CN"/>
        </w:rPr>
      </w:pPr>
      <w:r>
        <w:rPr>
          <w:rFonts w:hint="eastAsia" w:ascii="宋体" w:hAnsi="宋体" w:eastAsia="宋体" w:cs="宋体"/>
          <w:b w:val="0"/>
          <w:bCs w:val="0"/>
          <w:color w:val="auto"/>
          <w:spacing w:val="0"/>
          <w:sz w:val="21"/>
          <w:szCs w:val="21"/>
          <w:u w:val="none"/>
          <w:lang w:val="en-US" w:eastAsia="zh-CN"/>
        </w:rPr>
        <w:t>7.落实党建引领，选派党建指导员，与“小个专”党支部点对点沟通联系，做好党建工作指导和生产经营纾困帮扶。（责任单位：地区市监局</w:t>
      </w:r>
      <w:r>
        <w:rPr>
          <w:rFonts w:hint="eastAsia" w:ascii="宋体" w:hAnsi="宋体" w:eastAsia="宋体" w:cs="宋体"/>
          <w:color w:val="auto"/>
          <w:sz w:val="21"/>
          <w:szCs w:val="21"/>
          <w:vertAlign w:val="baseline"/>
          <w:lang w:val="en-US" w:eastAsia="zh-CN"/>
        </w:rPr>
        <w:t>）</w:t>
      </w:r>
    </w:p>
    <w:p w14:paraId="3D42CBA0">
      <w:pPr>
        <w:keepNext w:val="0"/>
        <w:keepLines w:val="0"/>
        <w:pageBreakBefore w:val="0"/>
        <w:widowControl w:val="0"/>
        <w:kinsoku/>
        <w:wordWrap/>
        <w:overflowPunct/>
        <w:topLinePunct w:val="0"/>
        <w:bidi w:val="0"/>
        <w:adjustRightInd/>
        <w:spacing w:line="440" w:lineRule="exact"/>
        <w:ind w:firstLine="420" w:firstLineChars="200"/>
        <w:textAlignment w:val="auto"/>
        <w:rPr>
          <w:rFonts w:hint="eastAsia" w:ascii="宋体" w:hAnsi="宋体" w:eastAsia="宋体" w:cs="宋体"/>
          <w:b w:val="0"/>
          <w:bCs w:val="0"/>
          <w:color w:val="auto"/>
          <w:spacing w:val="0"/>
          <w:sz w:val="21"/>
          <w:szCs w:val="21"/>
          <w:highlight w:val="none"/>
          <w:u w:val="none"/>
          <w:lang w:val="en-US" w:eastAsia="zh-CN"/>
        </w:rPr>
      </w:pPr>
      <w:r>
        <w:rPr>
          <w:rFonts w:hint="eastAsia" w:ascii="宋体" w:hAnsi="宋体" w:eastAsia="宋体" w:cs="宋体"/>
          <w:b w:val="0"/>
          <w:bCs w:val="0"/>
          <w:color w:val="auto"/>
          <w:spacing w:val="0"/>
          <w:sz w:val="21"/>
          <w:szCs w:val="21"/>
          <w:highlight w:val="none"/>
          <w:u w:val="none"/>
          <w:lang w:val="en-US" w:eastAsia="zh-CN"/>
        </w:rPr>
        <w:t>8.开展个体工商户宣传辅导座谈会及开展上门辅导服务。针对大家关注的个人所得税汇算清缴工作以及电子税务局操作过程遇到的个性化问题，进行详细的辅导和解答；围绕新出台的税收优惠政策和个体工商户关心的热点问题，开展宣传活动，畅通“精准推送、智能交互、办问协同、全程互动”的税费服务渠道，进一步压实责任，实现办中、办后精准推送。（</w:t>
      </w:r>
      <w:r>
        <w:rPr>
          <w:rFonts w:hint="eastAsia" w:ascii="宋体" w:hAnsi="宋体" w:eastAsia="宋体" w:cs="宋体"/>
          <w:b w:val="0"/>
          <w:bCs w:val="0"/>
          <w:color w:val="auto"/>
          <w:spacing w:val="0"/>
          <w:sz w:val="21"/>
          <w:szCs w:val="21"/>
          <w:u w:val="none"/>
          <w:lang w:val="en-US" w:eastAsia="zh-CN"/>
        </w:rPr>
        <w:t>责任单位：地区税务局）</w:t>
      </w:r>
    </w:p>
    <w:p w14:paraId="68BCA568">
      <w:pPr>
        <w:keepNext w:val="0"/>
        <w:keepLines w:val="0"/>
        <w:pageBreakBefore w:val="0"/>
        <w:widowControl w:val="0"/>
        <w:kinsoku/>
        <w:wordWrap/>
        <w:overflowPunct/>
        <w:topLinePunct w:val="0"/>
        <w:bidi w:val="0"/>
        <w:adjustRightInd/>
        <w:spacing w:line="440" w:lineRule="exact"/>
        <w:ind w:firstLine="420" w:firstLineChars="200"/>
        <w:textAlignment w:val="auto"/>
        <w:rPr>
          <w:rFonts w:hint="eastAsia" w:ascii="宋体" w:hAnsi="宋体" w:eastAsia="宋体" w:cs="宋体"/>
          <w:b w:val="0"/>
          <w:bCs w:val="0"/>
          <w:color w:val="auto"/>
          <w:spacing w:val="0"/>
          <w:sz w:val="21"/>
          <w:szCs w:val="21"/>
          <w:highlight w:val="none"/>
          <w:u w:val="none"/>
          <w:lang w:val="en-US" w:eastAsia="zh-CN"/>
        </w:rPr>
      </w:pPr>
      <w:r>
        <w:rPr>
          <w:rFonts w:hint="eastAsia" w:ascii="宋体" w:hAnsi="宋体" w:eastAsia="宋体" w:cs="宋体"/>
          <w:b w:val="0"/>
          <w:bCs w:val="0"/>
          <w:color w:val="auto"/>
          <w:spacing w:val="0"/>
          <w:sz w:val="21"/>
          <w:szCs w:val="21"/>
          <w:highlight w:val="none"/>
          <w:u w:val="none"/>
          <w:lang w:val="en-US" w:eastAsia="zh-CN"/>
        </w:rPr>
        <w:t>9.积极开展“春风行动”“民营企业服务月”等专项服务活动，根据个体工商户的用工需求，开展分行业、分人群的线上线下专场招聘和“直播带岗”活动，促进人力资源供需匹配。（</w:t>
      </w:r>
      <w:r>
        <w:rPr>
          <w:rFonts w:hint="eastAsia" w:ascii="宋体" w:hAnsi="宋体" w:eastAsia="宋体" w:cs="宋体"/>
          <w:b w:val="0"/>
          <w:bCs w:val="0"/>
          <w:color w:val="auto"/>
          <w:spacing w:val="0"/>
          <w:sz w:val="21"/>
          <w:szCs w:val="21"/>
          <w:u w:val="none"/>
          <w:lang w:val="en-US" w:eastAsia="zh-CN"/>
        </w:rPr>
        <w:t>责任单位：地区人社局）</w:t>
      </w:r>
    </w:p>
    <w:p w14:paraId="61E86612">
      <w:pPr>
        <w:keepNext w:val="0"/>
        <w:keepLines w:val="0"/>
        <w:pageBreakBefore w:val="0"/>
        <w:widowControl w:val="0"/>
        <w:kinsoku/>
        <w:wordWrap/>
        <w:overflowPunct/>
        <w:topLinePunct w:val="0"/>
        <w:bidi w:val="0"/>
        <w:adjustRightInd/>
        <w:spacing w:line="440" w:lineRule="exact"/>
        <w:ind w:firstLine="420" w:firstLineChars="200"/>
        <w:textAlignment w:val="auto"/>
        <w:rPr>
          <w:rFonts w:hint="eastAsia" w:ascii="宋体" w:hAnsi="宋体" w:eastAsia="宋体" w:cs="宋体"/>
          <w:b w:val="0"/>
          <w:bCs w:val="0"/>
          <w:color w:val="auto"/>
          <w:spacing w:val="0"/>
          <w:sz w:val="21"/>
          <w:szCs w:val="21"/>
          <w:highlight w:val="none"/>
          <w:u w:val="none"/>
          <w:lang w:val="en-US" w:eastAsia="zh-CN"/>
        </w:rPr>
      </w:pPr>
      <w:r>
        <w:rPr>
          <w:rFonts w:hint="eastAsia" w:ascii="宋体" w:hAnsi="宋体" w:eastAsia="宋体" w:cs="宋体"/>
          <w:b w:val="0"/>
          <w:bCs w:val="0"/>
          <w:color w:val="auto"/>
          <w:spacing w:val="0"/>
          <w:sz w:val="21"/>
          <w:szCs w:val="21"/>
          <w:highlight w:val="none"/>
          <w:u w:val="none"/>
          <w:lang w:val="en-US" w:eastAsia="zh-CN"/>
        </w:rPr>
        <w:t>10.利用老兵驿站对退役军人个体工商户的产品进行介绍，扩大个体工商户销售范围。</w:t>
      </w:r>
      <w:r>
        <w:rPr>
          <w:rFonts w:hint="eastAsia" w:ascii="宋体" w:hAnsi="宋体" w:eastAsia="宋体" w:cs="宋体"/>
          <w:b w:val="0"/>
          <w:bCs w:val="0"/>
          <w:color w:val="auto"/>
          <w:spacing w:val="0"/>
          <w:sz w:val="21"/>
          <w:szCs w:val="21"/>
          <w:u w:val="none"/>
          <w:lang w:val="en-US" w:eastAsia="zh-CN"/>
        </w:rPr>
        <w:t>（责任单位：地区退役军人局）</w:t>
      </w:r>
    </w:p>
    <w:p w14:paraId="67AFCB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auto"/>
          <w:spacing w:val="0"/>
          <w:sz w:val="21"/>
          <w:szCs w:val="21"/>
          <w:highlight w:val="none"/>
          <w:u w:val="none"/>
          <w:lang w:val="en-US" w:eastAsia="zh-CN"/>
        </w:rPr>
      </w:pPr>
      <w:r>
        <w:rPr>
          <w:rFonts w:hint="eastAsia" w:ascii="宋体" w:hAnsi="宋体" w:eastAsia="宋体" w:cs="宋体"/>
          <w:b w:val="0"/>
          <w:bCs w:val="0"/>
          <w:color w:val="auto"/>
          <w:spacing w:val="0"/>
          <w:sz w:val="21"/>
          <w:szCs w:val="21"/>
          <w:highlight w:val="none"/>
          <w:u w:val="none"/>
          <w:lang w:val="en-US" w:eastAsia="zh-CN"/>
        </w:rPr>
        <w:t>11.推介个体工商户名单开展银商对接，提供金融服务。做好银商融资对接服务保障。根据相关部门提供的“名特优新”个体工商户名单，对其中有融资需求的，及时推送给金融机构，鼓励金融机构将分类结果应用于授信评价、金融产品匹配等工作，按照市场化原则提供金融支持。</w:t>
      </w:r>
      <w:r>
        <w:rPr>
          <w:rFonts w:hint="eastAsia" w:ascii="宋体" w:hAnsi="宋体" w:eastAsia="宋体" w:cs="宋体"/>
          <w:b w:val="0"/>
          <w:bCs w:val="0"/>
          <w:color w:val="auto"/>
          <w:spacing w:val="0"/>
          <w:sz w:val="21"/>
          <w:szCs w:val="21"/>
          <w:u w:val="none"/>
          <w:lang w:val="en-US" w:eastAsia="zh-CN"/>
        </w:rPr>
        <w:t>（责任单位：大兴安岭金融监管分局、中国人民银行）</w:t>
      </w:r>
    </w:p>
    <w:p w14:paraId="7943785C">
      <w:pPr>
        <w:keepNext w:val="0"/>
        <w:keepLines w:val="0"/>
        <w:pageBreakBefore w:val="0"/>
        <w:widowControl w:val="0"/>
        <w:kinsoku/>
        <w:wordWrap/>
        <w:overflowPunct/>
        <w:topLinePunct w:val="0"/>
        <w:bidi w:val="0"/>
        <w:adjustRightInd/>
        <w:spacing w:line="440" w:lineRule="exact"/>
        <w:ind w:firstLine="420" w:firstLineChars="200"/>
        <w:textAlignment w:val="auto"/>
        <w:rPr>
          <w:rFonts w:hint="eastAsia" w:ascii="宋体" w:hAnsi="宋体" w:eastAsia="宋体" w:cs="宋体"/>
          <w:b w:val="0"/>
          <w:bCs w:val="0"/>
          <w:color w:val="auto"/>
          <w:spacing w:val="0"/>
          <w:sz w:val="21"/>
          <w:szCs w:val="21"/>
          <w:highlight w:val="none"/>
          <w:u w:val="none"/>
          <w:lang w:val="en-US" w:eastAsia="zh-CN"/>
        </w:rPr>
      </w:pPr>
      <w:r>
        <w:rPr>
          <w:rFonts w:hint="eastAsia" w:ascii="宋体" w:hAnsi="宋体" w:eastAsia="宋体" w:cs="宋体"/>
          <w:b w:val="0"/>
          <w:bCs w:val="0"/>
          <w:color w:val="auto"/>
          <w:spacing w:val="0"/>
          <w:sz w:val="21"/>
          <w:szCs w:val="21"/>
          <w:highlight w:val="none"/>
          <w:u w:val="none"/>
          <w:lang w:val="en-US" w:eastAsia="zh-CN"/>
        </w:rPr>
        <w:t>12.加强贷款贴息政策宣传，着力纾解创业者的融资难题，对符合条件的从事个体经营的人群创业提供创业担保贷款支持，实现应贷尽贷；积极帮助退役军人个体工商户申请“军创贷”，解决创业时资金困难问题。</w:t>
      </w:r>
      <w:r>
        <w:rPr>
          <w:rFonts w:hint="eastAsia" w:ascii="宋体" w:hAnsi="宋体" w:eastAsia="宋体" w:cs="宋体"/>
          <w:b w:val="0"/>
          <w:bCs w:val="0"/>
          <w:color w:val="auto"/>
          <w:spacing w:val="0"/>
          <w:sz w:val="21"/>
          <w:szCs w:val="21"/>
          <w:u w:val="none"/>
          <w:lang w:val="en-US" w:eastAsia="zh-CN"/>
        </w:rPr>
        <w:t>（责任单位：地区人社局、地区财政局、地区退役军人局）</w:t>
      </w:r>
    </w:p>
    <w:p w14:paraId="260FCFD7">
      <w:pPr>
        <w:keepNext w:val="0"/>
        <w:keepLines w:val="0"/>
        <w:pageBreakBefore w:val="0"/>
        <w:widowControl w:val="0"/>
        <w:kinsoku/>
        <w:wordWrap/>
        <w:overflowPunct/>
        <w:topLinePunct w:val="0"/>
        <w:bidi w:val="0"/>
        <w:adjustRightInd/>
        <w:spacing w:line="440" w:lineRule="exact"/>
        <w:ind w:firstLine="420" w:firstLineChars="200"/>
        <w:textAlignment w:val="auto"/>
        <w:rPr>
          <w:rFonts w:hint="eastAsia" w:ascii="宋体" w:hAnsi="宋体" w:eastAsia="宋体" w:cs="宋体"/>
          <w:b w:val="0"/>
          <w:bCs w:val="0"/>
          <w:color w:val="auto"/>
          <w:spacing w:val="0"/>
          <w:sz w:val="21"/>
          <w:szCs w:val="21"/>
          <w:highlight w:val="none"/>
          <w:u w:val="none"/>
          <w:lang w:val="en-US" w:eastAsia="zh-CN"/>
        </w:rPr>
      </w:pPr>
      <w:r>
        <w:rPr>
          <w:rFonts w:hint="eastAsia" w:ascii="宋体" w:hAnsi="宋体" w:eastAsia="宋体" w:cs="宋体"/>
          <w:b w:val="0"/>
          <w:bCs w:val="0"/>
          <w:color w:val="auto"/>
          <w:spacing w:val="0"/>
          <w:sz w:val="21"/>
          <w:szCs w:val="21"/>
          <w:highlight w:val="none"/>
          <w:u w:val="none"/>
          <w:lang w:val="en-US" w:eastAsia="zh-CN"/>
        </w:rPr>
        <w:t>13.在“双随机、一公开”监管中实行信用风险分类管理。除投诉举报、大数据监测发现问题、转办交办案件线索及法律法规另有规定外，对A类个体工商户，合理降低抽查比例和频次，并且根据实际，酌情决定是否采用非现场方式检查。</w:t>
      </w:r>
      <w:r>
        <w:rPr>
          <w:rFonts w:hint="eastAsia" w:ascii="宋体" w:hAnsi="宋体" w:eastAsia="宋体" w:cs="宋体"/>
          <w:b w:val="0"/>
          <w:bCs w:val="0"/>
          <w:color w:val="auto"/>
          <w:spacing w:val="0"/>
          <w:sz w:val="21"/>
          <w:szCs w:val="21"/>
          <w:u w:val="none"/>
          <w:lang w:val="en-US" w:eastAsia="zh-CN"/>
        </w:rPr>
        <w:t>（责任单位：地区市监局）</w:t>
      </w:r>
    </w:p>
    <w:p w14:paraId="372AF550">
      <w:pPr>
        <w:keepNext w:val="0"/>
        <w:keepLines w:val="0"/>
        <w:pageBreakBefore w:val="0"/>
        <w:widowControl w:val="0"/>
        <w:kinsoku/>
        <w:wordWrap/>
        <w:overflowPunct/>
        <w:topLinePunct w:val="0"/>
        <w:bidi w:val="0"/>
        <w:adjustRightInd/>
        <w:spacing w:line="440" w:lineRule="exact"/>
        <w:ind w:firstLine="420" w:firstLineChars="200"/>
        <w:textAlignment w:val="auto"/>
        <w:rPr>
          <w:rFonts w:hint="eastAsia" w:ascii="宋体" w:hAnsi="宋体" w:eastAsia="宋体" w:cs="宋体"/>
          <w:b w:val="0"/>
          <w:bCs w:val="0"/>
          <w:color w:val="auto"/>
          <w:spacing w:val="0"/>
          <w:sz w:val="21"/>
          <w:szCs w:val="21"/>
          <w:u w:val="none"/>
          <w:lang w:val="en-US" w:eastAsia="zh-CN"/>
        </w:rPr>
      </w:pPr>
      <w:r>
        <w:rPr>
          <w:rFonts w:hint="eastAsia" w:ascii="宋体" w:hAnsi="宋体" w:eastAsia="宋体" w:cs="宋体"/>
          <w:b w:val="0"/>
          <w:bCs w:val="0"/>
          <w:color w:val="auto"/>
          <w:spacing w:val="0"/>
          <w:sz w:val="21"/>
          <w:szCs w:val="21"/>
          <w:highlight w:val="none"/>
          <w:u w:val="none"/>
          <w:lang w:val="en-US" w:eastAsia="zh-CN"/>
        </w:rPr>
        <w:t>14.延续实施失业保险援企稳岗政策，支持符合条件的个体工商户，按规定享受阶段性降低失业保险费率政策，发挥失业保险保生活、防失业、促就业制度功能。（</w:t>
      </w:r>
      <w:r>
        <w:rPr>
          <w:rFonts w:hint="eastAsia" w:ascii="宋体" w:hAnsi="宋体" w:eastAsia="宋体" w:cs="宋体"/>
          <w:b w:val="0"/>
          <w:bCs w:val="0"/>
          <w:color w:val="auto"/>
          <w:spacing w:val="0"/>
          <w:sz w:val="21"/>
          <w:szCs w:val="21"/>
          <w:u w:val="none"/>
          <w:lang w:val="en-US" w:eastAsia="zh-CN"/>
        </w:rPr>
        <w:t>责任单位：地区人社局）</w:t>
      </w:r>
    </w:p>
    <w:p w14:paraId="31D22A05">
      <w:pPr>
        <w:keepNext w:val="0"/>
        <w:keepLines w:val="0"/>
        <w:pageBreakBefore w:val="0"/>
        <w:widowControl w:val="0"/>
        <w:kinsoku/>
        <w:wordWrap/>
        <w:overflowPunct/>
        <w:topLinePunct w:val="0"/>
        <w:bidi w:val="0"/>
        <w:adjustRightInd/>
        <w:spacing w:line="440" w:lineRule="exact"/>
        <w:ind w:firstLine="420" w:firstLineChars="200"/>
        <w:textAlignment w:val="auto"/>
        <w:rPr>
          <w:rFonts w:hint="eastAsia" w:ascii="宋体" w:hAnsi="宋体" w:eastAsia="宋体" w:cs="宋体"/>
          <w:b w:val="0"/>
          <w:bCs w:val="0"/>
          <w:color w:val="auto"/>
          <w:spacing w:val="0"/>
          <w:sz w:val="21"/>
          <w:szCs w:val="21"/>
          <w:u w:val="none"/>
          <w:lang w:val="en-US" w:eastAsia="zh-CN"/>
        </w:rPr>
      </w:pPr>
      <w:r>
        <w:rPr>
          <w:rFonts w:hint="eastAsia" w:ascii="宋体" w:hAnsi="宋体" w:eastAsia="宋体" w:cs="宋体"/>
          <w:b w:val="0"/>
          <w:bCs w:val="0"/>
          <w:color w:val="auto"/>
          <w:spacing w:val="0"/>
          <w:sz w:val="21"/>
          <w:szCs w:val="21"/>
          <w:u w:val="none"/>
          <w:lang w:val="en-US" w:eastAsia="zh-CN"/>
        </w:rPr>
        <w:t>15</w:t>
      </w:r>
      <w:r>
        <w:rPr>
          <w:rFonts w:hint="eastAsia" w:ascii="宋体" w:hAnsi="宋体" w:eastAsia="宋体" w:cs="宋体"/>
          <w:b w:val="0"/>
          <w:bCs w:val="0"/>
          <w:color w:val="auto"/>
          <w:spacing w:val="0"/>
          <w:sz w:val="21"/>
          <w:szCs w:val="21"/>
          <w:highlight w:val="none"/>
          <w:u w:val="none"/>
          <w:lang w:val="en-US" w:eastAsia="zh-CN"/>
        </w:rPr>
        <w:t>.</w:t>
      </w:r>
      <w:r>
        <w:rPr>
          <w:rFonts w:hint="eastAsia" w:ascii="宋体" w:hAnsi="宋体" w:eastAsia="宋体" w:cs="宋体"/>
          <w:b w:val="0"/>
          <w:bCs w:val="0"/>
          <w:color w:val="auto"/>
          <w:spacing w:val="0"/>
          <w:sz w:val="21"/>
          <w:szCs w:val="21"/>
          <w:u w:val="none"/>
          <w:lang w:val="en-US" w:eastAsia="zh-CN"/>
        </w:rPr>
        <w:t>设立“个转企”服务专区，提供绿色通道和集成受理、并联审批机制，实现一窗受理、一次采集信息，缩短办理时间。（责任单位：地区市监局）</w:t>
      </w:r>
    </w:p>
    <w:p w14:paraId="47D589A3">
      <w:pPr>
        <w:keepNext w:val="0"/>
        <w:keepLines w:val="0"/>
        <w:pageBreakBefore w:val="0"/>
        <w:widowControl w:val="0"/>
        <w:numPr>
          <w:ilvl w:val="0"/>
          <w:numId w:val="0"/>
        </w:numPr>
        <w:kinsoku/>
        <w:wordWrap/>
        <w:overflowPunct/>
        <w:topLinePunct w:val="0"/>
        <w:bidi w:val="0"/>
        <w:adjustRightInd/>
        <w:snapToGrid w:val="0"/>
        <w:spacing w:line="440" w:lineRule="exact"/>
        <w:ind w:left="0" w:leftChars="0" w:firstLine="422" w:firstLineChars="200"/>
        <w:jc w:val="left"/>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三、助力个体工商户提升市场竞争力</w:t>
      </w:r>
    </w:p>
    <w:p w14:paraId="22E4F1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auto"/>
          <w:spacing w:val="0"/>
          <w:sz w:val="21"/>
          <w:szCs w:val="21"/>
          <w:u w:val="none"/>
          <w:lang w:val="en-US" w:eastAsia="zh-CN"/>
        </w:rPr>
      </w:pPr>
      <w:r>
        <w:rPr>
          <w:rFonts w:hint="eastAsia" w:ascii="宋体" w:hAnsi="宋体" w:eastAsia="宋体" w:cs="宋体"/>
          <w:b w:val="0"/>
          <w:bCs w:val="0"/>
          <w:color w:val="auto"/>
          <w:spacing w:val="0"/>
          <w:sz w:val="21"/>
          <w:szCs w:val="21"/>
          <w:u w:val="none"/>
          <w:lang w:val="en-US" w:eastAsia="zh-CN"/>
        </w:rPr>
        <w:t>16.鼓励引导个体工商户、中小微企业等生产经营主体的出资人、法人、经营者，参加与其主营业务相关职业（工种）的职业技能培训，增强就业创业能力；鼓励引导退役军人参加职业技能培训，熟练掌握技能知识。（责任单位：地区人社局、地区退役军人局）</w:t>
      </w:r>
    </w:p>
    <w:p w14:paraId="046C25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auto"/>
          <w:spacing w:val="0"/>
          <w:sz w:val="21"/>
          <w:szCs w:val="21"/>
          <w:u w:val="none"/>
          <w:lang w:val="en-US" w:eastAsia="zh-CN"/>
        </w:rPr>
      </w:pPr>
      <w:r>
        <w:rPr>
          <w:rFonts w:hint="eastAsia" w:ascii="宋体" w:hAnsi="宋体" w:eastAsia="宋体" w:cs="宋体"/>
          <w:b w:val="0"/>
          <w:bCs w:val="0"/>
          <w:color w:val="auto"/>
          <w:spacing w:val="0"/>
          <w:sz w:val="21"/>
          <w:szCs w:val="21"/>
          <w:u w:val="none"/>
          <w:lang w:val="en-US" w:eastAsia="zh-CN"/>
        </w:rPr>
        <w:t>17.支持符合条件的个体工商户参与乡村旅游质量效益提升系列行动及产品线路推广等项目；鼓励和支持个体工商户参加消费季、美食节活动等；组织涉农企业、合作社等参加农交会、绿博会、哈洽会、农民丰收节等农产品展会，持续提高农业品牌知名度，不断扩大产品销售渠道。（责任单位：地区文旅局；地区商务局；地区农业农村局）</w:t>
      </w:r>
    </w:p>
    <w:p w14:paraId="3D6A0F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auto"/>
          <w:spacing w:val="0"/>
          <w:sz w:val="21"/>
          <w:szCs w:val="21"/>
          <w:u w:val="none"/>
          <w:lang w:val="en-US" w:eastAsia="zh-CN"/>
        </w:rPr>
      </w:pPr>
      <w:r>
        <w:rPr>
          <w:rFonts w:hint="eastAsia" w:ascii="宋体" w:hAnsi="宋体" w:eastAsia="宋体" w:cs="宋体"/>
          <w:b w:val="0"/>
          <w:bCs w:val="0"/>
          <w:color w:val="auto"/>
          <w:spacing w:val="0"/>
          <w:sz w:val="21"/>
          <w:szCs w:val="21"/>
          <w:u w:val="none"/>
          <w:lang w:val="en-US" w:eastAsia="zh-CN"/>
        </w:rPr>
        <w:t>18.鼓励个体工商户参与国际标准、国家标准、行业标准、地方标准、团体标准的制定；对主导制定标准的单位给予指导支持。（责任单位：地区市监局）</w:t>
      </w:r>
    </w:p>
    <w:p w14:paraId="7EDF94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auto"/>
          <w:spacing w:val="0"/>
          <w:sz w:val="21"/>
          <w:szCs w:val="21"/>
          <w:u w:val="none"/>
          <w:lang w:val="en-US" w:eastAsia="zh-CN"/>
        </w:rPr>
      </w:pPr>
      <w:r>
        <w:rPr>
          <w:rFonts w:hint="eastAsia" w:ascii="宋体" w:hAnsi="宋体" w:eastAsia="宋体" w:cs="宋体"/>
          <w:b w:val="0"/>
          <w:bCs w:val="0"/>
          <w:color w:val="auto"/>
          <w:spacing w:val="0"/>
          <w:sz w:val="21"/>
          <w:szCs w:val="21"/>
          <w:u w:val="none"/>
          <w:lang w:val="en-US" w:eastAsia="zh-CN"/>
        </w:rPr>
        <w:t>19.指导个体工商户完善明码标价和收费公示制度，开展价格法律法规宣传，提高从业者的法律意识、责任意识和社会责任感，营造良好的价费环境。（责任单位：地区市监局）</w:t>
      </w:r>
    </w:p>
    <w:p w14:paraId="4108C2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auto"/>
          <w:spacing w:val="0"/>
          <w:sz w:val="21"/>
          <w:szCs w:val="21"/>
          <w:u w:val="none"/>
          <w:lang w:val="en-US" w:eastAsia="zh-CN"/>
        </w:rPr>
      </w:pPr>
      <w:r>
        <w:rPr>
          <w:rFonts w:hint="eastAsia" w:ascii="宋体" w:hAnsi="宋体" w:eastAsia="宋体" w:cs="宋体"/>
          <w:b w:val="0"/>
          <w:bCs w:val="0"/>
          <w:color w:val="auto"/>
          <w:spacing w:val="0"/>
          <w:sz w:val="21"/>
          <w:szCs w:val="21"/>
          <w:u w:val="none"/>
          <w:lang w:val="en-US" w:eastAsia="zh-CN"/>
        </w:rPr>
        <w:t>20.落实包容审慎监管执法“四张清单”制度，对违法行为轻微并及时纠正，没</w:t>
      </w:r>
      <w:r>
        <w:rPr>
          <w:rFonts w:hint="eastAsia" w:ascii="宋体" w:hAnsi="宋体" w:eastAsia="宋体" w:cs="宋体"/>
          <w:b w:val="0"/>
          <w:bCs w:val="0"/>
          <w:color w:val="auto"/>
          <w:spacing w:val="0"/>
          <w:sz w:val="21"/>
          <w:szCs w:val="21"/>
          <w:highlight w:val="none"/>
          <w:u w:val="none"/>
          <w:lang w:val="en-US" w:eastAsia="zh-CN"/>
        </w:rPr>
        <w:t>有造成危害后果的，不予行政处罚。对危害后果轻微的违法行为，原则上通过批评教育、责令限期改正、告诫约谈等措施。</w:t>
      </w:r>
      <w:r>
        <w:rPr>
          <w:rFonts w:hint="eastAsia" w:ascii="宋体" w:hAnsi="宋体" w:eastAsia="宋体" w:cs="宋体"/>
          <w:b w:val="0"/>
          <w:bCs w:val="0"/>
          <w:color w:val="auto"/>
          <w:spacing w:val="0"/>
          <w:sz w:val="21"/>
          <w:szCs w:val="21"/>
          <w:u w:val="none"/>
          <w:lang w:val="en-US" w:eastAsia="zh-CN"/>
        </w:rPr>
        <w:t>（责任单位：地区市监局）</w:t>
      </w:r>
    </w:p>
    <w:p w14:paraId="5FDA6DA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73F54F1"/>
    <w:rsid w:val="129B5913"/>
    <w:rsid w:val="134C3538"/>
    <w:rsid w:val="1DDC550B"/>
    <w:rsid w:val="448B2102"/>
    <w:rsid w:val="782412C6"/>
    <w:rsid w:val="78C1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206769BFBCAE42DA9CC4FC9D9ACC36C4_13</vt:lpwstr>
  </property>
  <property fmtid="{D5CDD505-2E9C-101B-9397-08002B2CF9AE}" pid="4" name="KSOTemplateDocerSaveRecord">
    <vt:lpwstr>eyJoZGlkIjoiODA0MGYwZTA3ZjhkZGQ2MDZmM2VkNWJiNGM0NmY1OTkiLCJ1c2VySWQiOiIxMDE3MjYxMTk5In0=</vt:lpwstr>
  </property>
</Properties>
</file>