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6DF5A">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9136"/>
      <w:bookmarkStart w:id="1" w:name="_Toc827"/>
      <w:r>
        <w:rPr>
          <w:rFonts w:hint="eastAsia" w:ascii="Times New Roman" w:hAnsi="Times New Roman" w:eastAsia="仿宋" w:cs="Times New Roman"/>
          <w:b/>
          <w:bCs/>
          <w:kern w:val="2"/>
          <w:sz w:val="32"/>
          <w:szCs w:val="32"/>
          <w:lang w:val="en-US" w:eastAsia="zh-CN" w:bidi="ar-SA"/>
        </w:rPr>
        <w:t>7</w:t>
      </w:r>
      <w:r>
        <w:rPr>
          <w:rFonts w:hint="eastAsia" w:eastAsia="仿宋" w:cs="Times New Roman"/>
          <w:b/>
          <w:bCs/>
          <w:kern w:val="2"/>
          <w:sz w:val="32"/>
          <w:szCs w:val="32"/>
          <w:lang w:val="en-US" w:eastAsia="zh-CN" w:bidi="ar-SA"/>
        </w:rPr>
        <w:t>0</w:t>
      </w:r>
      <w:r>
        <w:rPr>
          <w:rFonts w:hint="eastAsia" w:ascii="Times New Roman" w:hAnsi="Times New Roman" w:eastAsia="仿宋" w:cs="Times New Roman"/>
          <w:b/>
          <w:bCs/>
          <w:kern w:val="2"/>
          <w:sz w:val="32"/>
          <w:szCs w:val="32"/>
          <w:lang w:val="en-US" w:eastAsia="zh-CN" w:bidi="ar-SA"/>
        </w:rPr>
        <w:t>.关于印发《大兴安岭地区“码上诚信”应用场景清单（2024年版）》的通知（2024年6月7日）</w:t>
      </w:r>
      <w:bookmarkEnd w:id="0"/>
      <w:bookmarkEnd w:id="1"/>
    </w:p>
    <w:bookmarkEnd w:id="2"/>
    <w:p w14:paraId="5E1942D1">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大署营发[2024]41号</w:t>
      </w:r>
    </w:p>
    <w:p w14:paraId="5BE0FF5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专班各责任单位，各县（市、区）营商环境局</w:t>
      </w:r>
      <w:r>
        <w:rPr>
          <w:rFonts w:hint="eastAsia" w:ascii="宋体" w:hAnsi="宋体" w:eastAsia="宋体" w:cs="宋体"/>
          <w:color w:val="000000"/>
          <w:sz w:val="21"/>
          <w:szCs w:val="21"/>
          <w:lang w:eastAsia="zh-CN"/>
        </w:rPr>
        <w:t>：</w:t>
      </w:r>
    </w:p>
    <w:p w14:paraId="4BA3A47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为进一步规范“码上诚信”应用领域，打造兴安企业良好品牌形象，营造诚实守信的社会环境，构建社会信用共建共治共享新格局，地区营商环境建设监督局结合当前我区“码上诚信”应用实际情况，编制了《大兴安岭地区“码上诚信”应用场景清单（2024年版）》，现印发给你们。</w:t>
      </w:r>
    </w:p>
    <w:p w14:paraId="454B2AF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sz w:val="21"/>
          <w:szCs w:val="21"/>
          <w:lang w:val="en-US" w:eastAsia="zh-CN"/>
        </w:rPr>
      </w:pPr>
    </w:p>
    <w:p w14:paraId="5C27FD6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jc w:val="righ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大兴安岭地区行署营商环境建设监督局</w:t>
      </w:r>
    </w:p>
    <w:p w14:paraId="4F618EC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jc w:val="righ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2024年6月7日</w:t>
      </w:r>
    </w:p>
    <w:p w14:paraId="04941A28">
      <w:pPr>
        <w:keepNext w:val="0"/>
        <w:keepLines w:val="0"/>
        <w:pageBreakBefore w:val="0"/>
        <w:widowControl w:val="0"/>
        <w:kinsoku/>
        <w:wordWrap/>
        <w:overflowPunct/>
        <w:topLinePunct w:val="0"/>
        <w:autoSpaceDE/>
        <w:autoSpaceDN/>
        <w:bidi w:val="0"/>
        <w:adjustRightInd/>
        <w:snapToGrid/>
        <w:spacing w:line="420" w:lineRule="exact"/>
        <w:ind w:left="0" w:leftChars="0" w:firstLine="422" w:firstLineChars="200"/>
        <w:jc w:val="center"/>
        <w:textAlignment w:val="auto"/>
        <w:rPr>
          <w:rFonts w:hint="eastAsia" w:ascii="宋体" w:hAnsi="宋体" w:eastAsia="宋体" w:cs="宋体"/>
          <w:b w:val="0"/>
          <w:bCs w:val="0"/>
          <w:i w:val="0"/>
          <w:iCs w:val="0"/>
          <w:strike w:val="0"/>
          <w:color w:val="000000"/>
          <w:spacing w:val="0"/>
          <w:w w:val="100"/>
          <w:position w:val="0"/>
          <w:sz w:val="21"/>
          <w:szCs w:val="21"/>
          <w:u w:val="none"/>
        </w:rPr>
      </w:pPr>
      <w:r>
        <w:rPr>
          <w:rFonts w:hint="eastAsia" w:ascii="宋体" w:hAnsi="宋体" w:eastAsia="宋体" w:cs="宋体"/>
          <w:b/>
          <w:bCs/>
          <w:color w:val="000000"/>
          <w:kern w:val="0"/>
          <w:sz w:val="21"/>
          <w:szCs w:val="21"/>
          <w:lang w:val="en-US" w:eastAsia="zh-CN" w:bidi="ar"/>
        </w:rPr>
        <w:t>关于大兴安岭地区“码上诚信”应用场景清单（2024年版)的说明</w:t>
      </w:r>
    </w:p>
    <w:p w14:paraId="60C8F1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为全面贯彻落实《黑龙江省营商环境建设监督局等十六部门关于进一步加强“码上诚信”推广应用工作的通知》、《关于印发鼓励市场主体应用“码上诚信”指导意见的通知》等文件要求，扎实推进“诚信兴安”品牌建设，提高市场主体依法诚信经营意识，营造守信践诺的市场环境，地区营商环境建设监督局向社会广泛公开征求意见建议，严格依据国家和本省法律、法规相关内容，结台我区具体实际编制本清单。</w:t>
      </w:r>
    </w:p>
    <w:p w14:paraId="0C7CA30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本清单所称的“码上诚信”应用场景，是指以统一社会信用代码为基础，采用国家公共信用报告标准，通过各级信用平台数据资源集成，利用互联网技术生成以公共信用信息和市场主体自愿申报信息为内容，用以展示市场主体在一定时期内的信用状况的市场主体个性化数字信用信息码在各行业领域的具体推广应用情况。</w:t>
      </w:r>
    </w:p>
    <w:p w14:paraId="46A8B53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二、本清单旨在梳理汇总符合我区具体实际且适宜全区推广的“码上诚信”应用场景，并通过本清单为全区范围内开展“码上诚信”应用场景的有关部门及市场主体提供指导及参考。</w:t>
      </w:r>
    </w:p>
    <w:p w14:paraId="2DA4983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三、本清单坚持经营主体自主自愿为原则，依据各行业主管部门有关规定及要求，规范各类“码上诚信”应用场景的主要内容及主要应用领域。</w:t>
      </w:r>
    </w:p>
    <w:p w14:paraId="6EC1ECE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四、除本清单所列“码上诚信”应用场景外，各县（市、区）各行业主管部门，可根据本地、本领域具体实际依法依规开展创新型应用场景。</w:t>
      </w:r>
    </w:p>
    <w:p w14:paraId="0B774C4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本清单原则上按年度更新。法律、法规或者党中央、国务院、省委、省政府、地委行署文件对“码上诚信”应用场景推广工作作出新规定新要求的，从其规定。县（市、区）“码上诚信”应用场景清单的制定和更新要参照上述要求执行。</w:t>
      </w:r>
    </w:p>
    <w:p w14:paraId="117AEC3E">
      <w:pPr>
        <w:keepNext w:val="0"/>
        <w:pageBreakBefore w:val="0"/>
        <w:bidi w:val="0"/>
        <w:spacing w:line="440" w:lineRule="exact"/>
        <w:rPr>
          <w:rFonts w:hint="eastAsia" w:ascii="宋体" w:hAnsi="宋体" w:eastAsia="宋体" w:cs="宋体"/>
          <w:sz w:val="21"/>
          <w:szCs w:val="21"/>
        </w:rPr>
      </w:pPr>
      <w:r>
        <w:rPr>
          <w:rFonts w:hint="eastAsia" w:ascii="宋体" w:hAnsi="宋体" w:eastAsia="宋体" w:cs="宋体"/>
          <w:sz w:val="21"/>
          <w:szCs w:val="21"/>
        </w:rPr>
        <w:br w:type="page"/>
      </w:r>
    </w:p>
    <w:p w14:paraId="5EEB6454">
      <w:pPr>
        <w:keepNext w:val="0"/>
        <w:pageBreakBefore w:val="0"/>
        <w:bidi w:val="0"/>
        <w:spacing w:line="440" w:lineRule="exact"/>
        <w:rPr>
          <w:rFonts w:hint="eastAsia" w:ascii="宋体" w:hAnsi="宋体" w:eastAsia="宋体" w:cs="宋体"/>
          <w:b/>
          <w:bCs/>
          <w:sz w:val="21"/>
          <w:szCs w:val="21"/>
        </w:rPr>
      </w:pPr>
    </w:p>
    <w:p w14:paraId="681E4365">
      <w:pPr>
        <w:keepNext w:val="0"/>
        <w:pageBreakBefore w:val="0"/>
        <w:widowControl w:val="0"/>
        <w:bidi w:val="0"/>
        <w:spacing w:before="0" w:after="0" w:line="440" w:lineRule="exact"/>
        <w:ind w:right="-20"/>
        <w:jc w:val="center"/>
        <w:rPr>
          <w:rFonts w:hint="eastAsia" w:ascii="宋体" w:hAnsi="宋体" w:eastAsia="宋体" w:cs="宋体"/>
          <w:b/>
          <w:bCs/>
          <w:i w:val="0"/>
          <w:iCs w:val="0"/>
          <w:strike w:val="0"/>
          <w:color w:val="000000"/>
          <w:spacing w:val="0"/>
          <w:w w:val="100"/>
          <w:position w:val="0"/>
          <w:sz w:val="21"/>
          <w:szCs w:val="21"/>
          <w:u w:val="none"/>
        </w:rPr>
      </w:pPr>
      <w:r>
        <w:rPr>
          <w:rFonts w:hint="eastAsia" w:ascii="宋体" w:hAnsi="宋体" w:eastAsia="宋体" w:cs="宋体"/>
          <w:b/>
          <w:bCs/>
          <w:i w:val="0"/>
          <w:iCs w:val="0"/>
          <w:strike w:val="0"/>
          <w:color w:val="000000"/>
          <w:spacing w:val="0"/>
          <w:w w:val="100"/>
          <w:position w:val="0"/>
          <w:sz w:val="21"/>
          <w:szCs w:val="21"/>
          <w:u w:val="none"/>
          <w:lang w:val="en-US" w:eastAsia="zh-CN"/>
        </w:rPr>
        <w:t>大兴安岭地区</w:t>
      </w:r>
      <w:r>
        <w:rPr>
          <w:rFonts w:hint="eastAsia" w:ascii="宋体" w:hAnsi="宋体" w:eastAsia="宋体" w:cs="宋体"/>
          <w:b/>
          <w:bCs/>
          <w:i w:val="0"/>
          <w:iCs w:val="0"/>
          <w:strike w:val="0"/>
          <w:color w:val="000000"/>
          <w:spacing w:val="0"/>
          <w:w w:val="100"/>
          <w:position w:val="0"/>
          <w:sz w:val="21"/>
          <w:szCs w:val="21"/>
          <w:u w:val="none"/>
        </w:rPr>
        <w:t>“码</w:t>
      </w:r>
      <w:r>
        <w:rPr>
          <w:rFonts w:hint="eastAsia" w:ascii="宋体" w:hAnsi="宋体" w:eastAsia="宋体" w:cs="宋体"/>
          <w:b/>
          <w:bCs/>
          <w:i w:val="0"/>
          <w:iCs w:val="0"/>
          <w:strike w:val="0"/>
          <w:color w:val="000000"/>
          <w:spacing w:val="-2"/>
          <w:w w:val="100"/>
          <w:position w:val="0"/>
          <w:sz w:val="21"/>
          <w:szCs w:val="21"/>
          <w:u w:val="none"/>
        </w:rPr>
        <w:t>上</w:t>
      </w:r>
      <w:r>
        <w:rPr>
          <w:rFonts w:hint="eastAsia" w:ascii="宋体" w:hAnsi="宋体" w:eastAsia="宋体" w:cs="宋体"/>
          <w:b/>
          <w:bCs/>
          <w:i w:val="0"/>
          <w:iCs w:val="0"/>
          <w:strike w:val="0"/>
          <w:color w:val="000000"/>
          <w:spacing w:val="0"/>
          <w:w w:val="100"/>
          <w:position w:val="0"/>
          <w:sz w:val="21"/>
          <w:szCs w:val="21"/>
          <w:u w:val="none"/>
        </w:rPr>
        <w:t>诚信”应</w:t>
      </w:r>
      <w:r>
        <w:rPr>
          <w:rFonts w:hint="eastAsia" w:ascii="宋体" w:hAnsi="宋体" w:eastAsia="宋体" w:cs="宋体"/>
          <w:b/>
          <w:bCs/>
          <w:i w:val="0"/>
          <w:iCs w:val="0"/>
          <w:strike w:val="0"/>
          <w:color w:val="000000"/>
          <w:spacing w:val="-2"/>
          <w:w w:val="100"/>
          <w:position w:val="0"/>
          <w:sz w:val="21"/>
          <w:szCs w:val="21"/>
          <w:u w:val="none"/>
        </w:rPr>
        <w:t>用</w:t>
      </w:r>
      <w:r>
        <w:rPr>
          <w:rFonts w:hint="eastAsia" w:ascii="宋体" w:hAnsi="宋体" w:eastAsia="宋体" w:cs="宋体"/>
          <w:b/>
          <w:bCs/>
          <w:i w:val="0"/>
          <w:iCs w:val="0"/>
          <w:strike w:val="0"/>
          <w:color w:val="000000"/>
          <w:spacing w:val="0"/>
          <w:w w:val="100"/>
          <w:position w:val="0"/>
          <w:sz w:val="21"/>
          <w:szCs w:val="21"/>
          <w:u w:val="none"/>
        </w:rPr>
        <w:t>场景</w:t>
      </w:r>
      <w:r>
        <w:rPr>
          <w:rFonts w:hint="eastAsia" w:ascii="宋体" w:hAnsi="宋体" w:eastAsia="宋体" w:cs="宋体"/>
          <w:b/>
          <w:bCs/>
          <w:i w:val="0"/>
          <w:iCs w:val="0"/>
          <w:strike w:val="0"/>
          <w:color w:val="000000"/>
          <w:spacing w:val="-3"/>
          <w:w w:val="100"/>
          <w:position w:val="0"/>
          <w:sz w:val="21"/>
          <w:szCs w:val="21"/>
          <w:u w:val="none"/>
        </w:rPr>
        <w:t>清</w:t>
      </w:r>
      <w:r>
        <w:rPr>
          <w:rFonts w:hint="eastAsia" w:ascii="宋体" w:hAnsi="宋体" w:eastAsia="宋体" w:cs="宋体"/>
          <w:b/>
          <w:bCs/>
          <w:i w:val="0"/>
          <w:iCs w:val="0"/>
          <w:strike w:val="0"/>
          <w:color w:val="000000"/>
          <w:spacing w:val="0"/>
          <w:w w:val="100"/>
          <w:position w:val="0"/>
          <w:sz w:val="21"/>
          <w:szCs w:val="21"/>
          <w:u w:val="none"/>
        </w:rPr>
        <w:t>单</w:t>
      </w:r>
      <w:r>
        <w:rPr>
          <w:rFonts w:hint="eastAsia" w:ascii="宋体" w:hAnsi="宋体" w:eastAsia="宋体" w:cs="宋体"/>
          <w:b/>
          <w:bCs/>
          <w:i w:val="0"/>
          <w:iCs w:val="0"/>
          <w:strike w:val="0"/>
          <w:color w:val="000000"/>
          <w:spacing w:val="-3"/>
          <w:w w:val="100"/>
          <w:position w:val="0"/>
          <w:sz w:val="21"/>
          <w:szCs w:val="21"/>
          <w:u w:val="none"/>
        </w:rPr>
        <w:t>（</w:t>
      </w:r>
      <w:r>
        <w:rPr>
          <w:rFonts w:hint="eastAsia" w:ascii="宋体" w:hAnsi="宋体" w:eastAsia="宋体" w:cs="宋体"/>
          <w:b/>
          <w:bCs/>
          <w:i w:val="0"/>
          <w:iCs w:val="0"/>
          <w:strike w:val="0"/>
          <w:color w:val="000000"/>
          <w:spacing w:val="1"/>
          <w:w w:val="99"/>
          <w:position w:val="0"/>
          <w:sz w:val="21"/>
          <w:szCs w:val="21"/>
          <w:u w:val="none"/>
          <w:lang w:val="en-US" w:eastAsia="zh-CN"/>
        </w:rPr>
        <w:t>2024年</w:t>
      </w:r>
      <w:r>
        <w:rPr>
          <w:rFonts w:hint="eastAsia" w:ascii="宋体" w:hAnsi="宋体" w:eastAsia="宋体" w:cs="宋体"/>
          <w:b/>
          <w:bCs/>
          <w:i w:val="0"/>
          <w:iCs w:val="0"/>
          <w:strike w:val="0"/>
          <w:color w:val="000000"/>
          <w:spacing w:val="-2"/>
          <w:w w:val="100"/>
          <w:position w:val="0"/>
          <w:sz w:val="21"/>
          <w:szCs w:val="21"/>
          <w:u w:val="none"/>
        </w:rPr>
        <w:t>版</w:t>
      </w:r>
      <w:r>
        <w:rPr>
          <w:rFonts w:hint="eastAsia" w:ascii="宋体" w:hAnsi="宋体" w:eastAsia="宋体" w:cs="宋体"/>
          <w:b/>
          <w:bCs/>
          <w:i w:val="0"/>
          <w:iCs w:val="0"/>
          <w:strike w:val="0"/>
          <w:color w:val="000000"/>
          <w:spacing w:val="0"/>
          <w:w w:val="100"/>
          <w:position w:val="0"/>
          <w:sz w:val="21"/>
          <w:szCs w:val="21"/>
          <w:u w:val="none"/>
        </w:rPr>
        <w:t>）</w:t>
      </w:r>
    </w:p>
    <w:tbl>
      <w:tblPr>
        <w:tblStyle w:val="8"/>
        <w:tblW w:w="8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1040"/>
        <w:gridCol w:w="3713"/>
        <w:gridCol w:w="1688"/>
        <w:gridCol w:w="1887"/>
      </w:tblGrid>
      <w:tr w14:paraId="2997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303">
            <w:pPr>
              <w:keepNext w:val="0"/>
              <w:keepLines w:val="0"/>
              <w:pageBreakBefore w:val="0"/>
              <w:widowControl/>
              <w:suppressLineNumbers w:val="0"/>
              <w:bidi w:val="0"/>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45AD">
            <w:pPr>
              <w:keepNext w:val="0"/>
              <w:keepLines w:val="0"/>
              <w:pageBreakBefore w:val="0"/>
              <w:widowControl/>
              <w:suppressLineNumbers w:val="0"/>
              <w:bidi w:val="0"/>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场景名称</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015">
            <w:pPr>
              <w:keepNext w:val="0"/>
              <w:keepLines w:val="0"/>
              <w:pageBreakBefore w:val="0"/>
              <w:widowControl/>
              <w:suppressLineNumbers w:val="0"/>
              <w:bidi w:val="0"/>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8E44">
            <w:pPr>
              <w:keepNext w:val="0"/>
              <w:keepLines w:val="0"/>
              <w:pageBreakBefore w:val="0"/>
              <w:widowControl/>
              <w:suppressLineNumbers w:val="0"/>
              <w:bidi w:val="0"/>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主要应用领域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72F1">
            <w:pPr>
              <w:keepNext w:val="0"/>
              <w:keepLines w:val="0"/>
              <w:pageBreakBefore w:val="0"/>
              <w:widowControl/>
              <w:suppressLineNumbers w:val="0"/>
              <w:bidi w:val="0"/>
              <w:spacing w:line="4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补充说明</w:t>
            </w:r>
          </w:p>
        </w:tc>
      </w:tr>
      <w:tr w14:paraId="3F35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34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12A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码上诚信+政务服务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D2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在政务服务大厅设置“码上诚信”绿色通道，为亮码经营主体提供优先</w:t>
            </w:r>
          </w:p>
          <w:p w14:paraId="1ADDCCA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办理服务。提供“ 码上诚信” 申请办理指引服务。提供“码上诚信”亮</w:t>
            </w:r>
          </w:p>
          <w:p w14:paraId="31B6F31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码经营主体免费帮办、代办服务。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2B1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入驻政务服务大厅的各领域均可探索应用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32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应当由行业主管部门根据实际情况建立完善有关行政审批具体应用的场景和流程后规范开展。</w:t>
            </w:r>
          </w:p>
        </w:tc>
      </w:tr>
      <w:tr w14:paraId="78CA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BFD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4EA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码上诚信+行政审批</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A00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在行政审批过程中，探索将“码上诚信”展示的信用状况作为有效要</w:t>
            </w:r>
          </w:p>
          <w:p w14:paraId="5C7F5C6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件，与信用承诺制相互融合，减少办理手续，压缩办理时限。</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87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具有行政审批权力的各领域均可探索应用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DE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应当由行业主管部门根据实际情况建立完善有关行政审批具体应用的场景和流程后规范开展。</w:t>
            </w:r>
          </w:p>
        </w:tc>
      </w:tr>
      <w:tr w14:paraId="63AF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09D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8C8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码上诚信+产品包装</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446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各类产品生产经营主体在产品包装印制或张贴“码上诚信”标识，为消</w:t>
            </w:r>
          </w:p>
          <w:p w14:paraId="18A89B0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费者提供便利化经营主体信用状况查询服务。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EC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农、林、牧、渔业，制造业，批发和零售业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77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C67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764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29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码上诚信+校园服务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A8E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校园配餐企业、校园内经营主体公开张贴“码上诚信”标识，公开亮码</w:t>
            </w:r>
          </w:p>
          <w:p w14:paraId="6F6E34A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6F6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教育，批发和零售业，住宿和餐饮业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F7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1B0F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410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C0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码上诚信+评先评优</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DBD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在开展各类经营主体评优评先工作中，将应用和公开展示“码上诚信”</w:t>
            </w:r>
          </w:p>
          <w:p w14:paraId="6A2139F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纳入相关评优评先工作要求。将使用“码上诚信”核查经营主体信用状</w:t>
            </w:r>
          </w:p>
          <w:p w14:paraId="0E8406E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况作为相关评先评优的重要依据。</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0B7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具有行政审批权力的各领域均可探索应用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5D3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应当由行业主管部门根据实际情况建立完善有关行政审批具体应用的场景和流程后规范开展。</w:t>
            </w:r>
          </w:p>
        </w:tc>
      </w:tr>
      <w:tr w14:paraId="4402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5A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2A9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码上诚信+金融服务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A4F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在金融机构对“码上诚信”亮码经营主体提供优先办理服务，根据“码</w:t>
            </w:r>
          </w:p>
          <w:p w14:paraId="0822DD1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上诚信”展示的信用状况予以增信参考。</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A8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3D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金融机构自愿。行业主管部门有规定要求的，按有关要求规范开展。</w:t>
            </w:r>
          </w:p>
        </w:tc>
      </w:tr>
      <w:tr w14:paraId="0033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520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4AF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码上诚信+餐饮服务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77D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餐饮饭店、饮品店、预包装食品店等经营主体通过各种形式展示“码上</w:t>
            </w:r>
          </w:p>
          <w:p w14:paraId="5A27BCE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A09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住宿和餐饮业，批发和零售业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A5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1C4A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E4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A86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码上诚信+医疗卫生</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576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医疗卫生机构通过各种形式展示“码上诚信”标识，公开亮码接受消费</w:t>
            </w:r>
          </w:p>
          <w:p w14:paraId="531DD5A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7B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卫生和社会工作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9D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49E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4B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DCC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码上诚信+医疗器械</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2B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眼镜制配、助听器制配等医疗器械经营主体通过各种形式展示“码上诚</w:t>
            </w:r>
          </w:p>
          <w:p w14:paraId="56C67E7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BF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卫生和社会工作，批发和零售业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C8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3FB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570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0AB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码上诚信+医药服务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08A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药品经营主体通过各种形式展示“码上诚信”标识，公开亮码接受消费</w:t>
            </w:r>
          </w:p>
          <w:p w14:paraId="0767D2C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5A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卫生和社会工作，批发和零售业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62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761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A1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D5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码上诚信+住宿服务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AA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宾馆、酒店通过各种形式展示“码上诚信”标识，公开亮码接受消费者</w:t>
            </w:r>
          </w:p>
          <w:p w14:paraId="3B30E41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769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住宿和餐饮业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A12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FD0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835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B5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码上诚信+网络电商</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FD5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各类网络电商（含外卖平台）通过各种形式展示“码上诚信”标识，公</w:t>
            </w:r>
          </w:p>
          <w:p w14:paraId="366DDBD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0BF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农、林、牧、渔业，批发和零售业，住宿和餐饮业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20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654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337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8C7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码上诚信+广告营销</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DAC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各类经营主体在广告宣传、名片印制、活动海报等宣传活动中通过各种</w:t>
            </w:r>
          </w:p>
          <w:p w14:paraId="1B7AAF3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形式展示“码上诚信”标识，公开亮码接受消费者监督。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7D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应用“码上诚信”的各领域均可探索应用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30E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3301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06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9A3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码上诚信+文体健身</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A7D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各类健身、体育、兴趣特长培育机构通过各种形式展示“码上诚信”标</w:t>
            </w:r>
          </w:p>
          <w:p w14:paraId="0C0C58C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5B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教育，文化、体育和娱乐业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6D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6C0D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F8B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7FC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码上诚信+商超</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6B2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各类商店、超市通过各种形式展示“码上诚信”标识，公开亮码接受消</w:t>
            </w:r>
          </w:p>
          <w:p w14:paraId="73662F2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56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E4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B4F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338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CE3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码上诚信+市场</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08F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各类市场、早市、夜市等经营主体通过各种形式展示“码上诚信”标</w:t>
            </w:r>
          </w:p>
          <w:p w14:paraId="31C4247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E7E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2A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52F6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1B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2F6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码上诚信+公共服务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A6C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供水、供电、供热、供气等各类提供公共服务的经营主体通过各种形式</w:t>
            </w:r>
          </w:p>
          <w:p w14:paraId="144F208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展示“码上诚信”标识，公开亮码接受消费者监督。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BD3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电力、热力、燃气及水生产和供应业，公共管理、社会保障和社会组织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16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CBE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86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F4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码上诚信+人力资源</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B20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各类经营主体在人才招聘活动、劳务派遣等工作中通过各种形式展示“</w:t>
            </w:r>
          </w:p>
          <w:p w14:paraId="2541F5A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码上诚信”标识，公开亮码接受社会务工人员监督。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CC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卫生和社会工作，公共管理、社会保障和社会组织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5E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150E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28E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B3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码上诚信+检验检测</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FEA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各类检验检测机构在检测报告、宣传广告等采取多种形式展示“码上诚</w:t>
            </w:r>
          </w:p>
          <w:p w14:paraId="2D11ED5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信”标识，公开亮码接受服务对象监督。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38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科学研究和技术服务业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B9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3C33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CA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EBB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码上诚信+助农护农</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8A2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从事各类农药、化肥、饲料、种子、农机等涉农产品生产销售的经营主</w:t>
            </w:r>
          </w:p>
          <w:p w14:paraId="54FE84A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体通过各种形式展示“码上诚信”标识，公开亮码接受消费者监督。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79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农、林、牧、渔业，制造业，批发和零售业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4FC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64EB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9"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F2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9E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码上诚信+信用监管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23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各行政执法部门，在执法检查过程中，将“码上诚信”展示的经营主体</w:t>
            </w:r>
          </w:p>
          <w:p w14:paraId="372D0B5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基本信息、行政许可信息等作为有效信息，无需额外要求经营主体提供</w:t>
            </w:r>
          </w:p>
          <w:p w14:paraId="43D4B72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证照材料。将“码上诚信”展示的经营主体信用状况作为监督检查频次</w:t>
            </w:r>
          </w:p>
          <w:p w14:paraId="46A9824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的参考。</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267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 码上诚信” 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50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应当由行业主管部门根据实际情况建立完善有关行业评优评先应用“ 码上诚信” 流程后规范开展。</w:t>
            </w:r>
          </w:p>
        </w:tc>
      </w:tr>
      <w:tr w14:paraId="2845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D7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F52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码上诚信+家政服务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592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家政服务业经营主体公开张贴“码上诚信”标识，公开亮码接受社会监</w:t>
            </w:r>
          </w:p>
          <w:p w14:paraId="6D8A099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D4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12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444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BEA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82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码上诚信+养老服务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4AE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养老服务业经营主体公开张贴“码上诚信”标识，公开亮码接受社会监</w:t>
            </w:r>
          </w:p>
          <w:p w14:paraId="3CBE399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EC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DC4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1DB0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64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2E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码上诚信+休闲娱乐</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5A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网吧、KTV、桌游吧、电影院、洗浴中心、游乐场等休闲娱乐经营主体公</w:t>
            </w:r>
          </w:p>
          <w:p w14:paraId="2EE350A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开张贴“码上诚信”标识，公开亮码接受消费者监督。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7B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文化、体育和娱乐业，批发和零售业，住宿和餐饮业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E80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7E60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66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B5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码上诚信+旅游</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B75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旅游景区、旅游景区内经营主体等公开张贴“码上诚信”标识，公开亮</w:t>
            </w:r>
          </w:p>
          <w:p w14:paraId="37834CD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CD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文化、体育和娱乐业，批发和零售业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274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6CF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E2B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AA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码上诚信+公共交通</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F7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公共交通工具（公交车、长途客车）经营主体在公共交通工具公开张贴</w:t>
            </w:r>
          </w:p>
          <w:p w14:paraId="3B9DE4A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F5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交通运输、仓储和邮政业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28F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FA6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B2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354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码上诚信+便利出行</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34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出租车、网约车经营主体在交通工具公开张贴“码上诚信”标识，公开</w:t>
            </w:r>
          </w:p>
          <w:p w14:paraId="50F19D4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E27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交通运输、仓储和邮政业，居民服务、修理和其他服务业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72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4DC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00E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D5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码上诚信+货运</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AF3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长途货运经营主体在交通工具公开张贴“码上诚信”标识，公开亮码接</w:t>
            </w:r>
          </w:p>
          <w:p w14:paraId="23A8143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34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交通运输、仓储和邮政业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355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5BE5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6A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B5B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码上诚信+民生服务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2B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美容、美发、装修、维修、开锁、管道疏通等各类民生服务领域经营主</w:t>
            </w:r>
          </w:p>
          <w:p w14:paraId="3D6B13F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体公开张贴“码上诚信”标识，公开亮码接受社会监督。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30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卫生和社会工作，居民服务、修理和其他服务业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2F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D7E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DB2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F4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码上诚信+物业管理</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77A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物业公司公开张贴“码上诚信”标识，公开亮码接受社会监督。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038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房地产业，建筑业，租赁和商务服务业，居民服务、修理和其他服务业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CA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01B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D57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5CF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码上诚信+汽车交易</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FD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汽车销售经营主体（包含二手车辆销售经营主体）公开张贴“码上诚信</w:t>
            </w:r>
          </w:p>
          <w:p w14:paraId="29FEDC5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AC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制造业，批发和零售业，交通运输、仓储和邮政业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D8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F95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7E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A6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码上诚信+地图</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56D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经赋码经营主体同意，将所有赋码经营主体信息通过信息化地图形式展</w:t>
            </w:r>
          </w:p>
          <w:p w14:paraId="024A02D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E1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 码上诚信” 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5B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366C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631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4C2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码上诚信+加油服务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4C2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加油站、加气站、充电站经营主体公开张贴“码上诚信”标识，公开亮</w:t>
            </w:r>
          </w:p>
          <w:p w14:paraId="035CF84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277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交通运输、仓储和邮政业，居民服务、修理和其他服务业，批发和零售业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CFB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6D6F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A6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7AA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码上诚信+园区</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4F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园区内经营主体公开张贴“码上诚信”标识，公开亮码接受社会监督。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EC8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房地产业，建筑业，租赁和商务服务业，居民服务、修理和其他服务业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B4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839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29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C2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码上诚信+展会</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65C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经营主体在各类展会、商会公开张贴“码上诚信”标识，公开亮码接受</w:t>
            </w:r>
          </w:p>
          <w:p w14:paraId="2764633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3B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租赁和商务服务业，批发和零售业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2FC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5D92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490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EF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码上诚信+泊车</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C71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收费停车场经营主体公开张贴“码上诚信”标识，公开亮码接受社会监</w:t>
            </w:r>
          </w:p>
          <w:p w14:paraId="0CC0F19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9C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公共管理、社会保障和社会组织，租赁和商务服务业，水利、环境和公共设施管理业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B7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15B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C1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E3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码上诚信+地产服务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A60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房屋建造、房屋销售、房屋中介等房地产有关经营主体公开张贴“码上</w:t>
            </w:r>
          </w:p>
          <w:p w14:paraId="660E270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9E0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房地产业，建筑业，租赁和商务服务业，居民服务、修理和其他服务业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D6E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D91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B2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1BB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码上诚信+老字号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3BB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老字号经营主体公开张贴“码上诚信”标识，公开亮码接受社会监督。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274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 码上诚信” 的各领域老字号经营主体均可探索应用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7B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3CD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68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536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码上诚信+信息化</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FC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从事大数据、信息传输、软件和信息技术服务经营企业公开张贴“码上</w:t>
            </w:r>
          </w:p>
          <w:p w14:paraId="4C2E67B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E6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信息传输、软件和信息技术服务业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953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9FE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E5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B0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码上诚信+科技</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7B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从事高新技术企业公开张贴“码上诚信”标识，公开亮码接受社会监督</w:t>
            </w:r>
          </w:p>
          <w:p w14:paraId="55C0153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55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科学研究和技术服务业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2F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A92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F4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29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码上诚信+跨境贸易</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50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从事跨境贸易的经营主体公开张贴“码上诚信”标识，公开亮码接受社</w:t>
            </w:r>
          </w:p>
          <w:p w14:paraId="45C717E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FE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国际组织，批发和零售业，农、林、牧、渔业，采矿业，制造业，交通运输、仓储和邮政业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6F9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0A69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C6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183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码上诚信+矿产资源</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A71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从事矿产资源工作的经营主体公开张贴“码上诚信”标识，公开亮码接</w:t>
            </w:r>
          </w:p>
          <w:p w14:paraId="1B3A4B4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80F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74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E70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8C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EB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码上诚信+快递服务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F3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从事邮寄、快递服务经营主体公开张贴“码上诚信”标识，公开亮码接</w:t>
            </w:r>
          </w:p>
          <w:p w14:paraId="7883715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62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交通运输、仓储和邮政业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14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5B50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74A8">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FEE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码上诚信+法律服务</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AD7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从事法律服务的律师事务所、公正机构等公开张贴“码上诚信”标识，</w:t>
            </w:r>
          </w:p>
          <w:p w14:paraId="3D193CE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473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租赁和商务服务业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ED2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69F3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163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E6F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码上诚信+职业培训</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0C5">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职业技能培训机构公开张贴“码上诚信”标识，公开亮码接受社会监督</w:t>
            </w:r>
          </w:p>
          <w:p w14:paraId="240378C9">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1F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应用“码上诚信”的各领域均可探索应用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C30">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78B7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F647">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04A6">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码上诚信+规上企业</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AF3F">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规上企业通过各种形式展示“码上诚信”标识，公开亮码接受社会监督。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A1C">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规模以上工业、建筑业、批发和零售业、住宿和餐饮业、房地产开发和经营业、服务业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D91">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463E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5E5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E044">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码上诚信+设备租赁</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2A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各类设备租赁企业通过各种形式展示“码上诚信”标识，公开亮码接受社会监督。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DCE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建筑、道路等领域工程机械租赁行业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876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2AE7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4E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780B">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码上诚信+汽车维修</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430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汽车维修厂、汽车4s店通过各种形式展示“码上诚信”标识，公开亮码接受消费者监督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B1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汽车、摩托车维护与保养行业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B88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1ADC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95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5EE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码上诚信+新闻出版</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C0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各类媒体、新闻出版单位通过公开亮码，展示“码上诚信”标识，接受消费者监督。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68C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媒体行业、新闻出版业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6ED">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经营主体自愿。行业主管部门有规定要求的，按有关要求规范开展。</w:t>
            </w:r>
          </w:p>
        </w:tc>
      </w:tr>
      <w:tr w14:paraId="3CC4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713">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E8E">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码上诚信+蓝莓分</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9412">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积极拓展“码上诚信”场景应用，将“码上诚信”与“蓝莓分”结合起来，为诚信市场主体带来更多保障。为主动申码、亮码的市场主体法人/负责人提高诚信积分。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424">
            <w:pPr>
              <w:keepNext w:val="0"/>
              <w:keepLines w:val="0"/>
              <w:pageBreakBefore w:val="0"/>
              <w:widowControl/>
              <w:suppressLineNumbers w:val="0"/>
              <w:bidi w:val="0"/>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应用“码上诚信”的各领域均可探索应用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BDA">
            <w:pPr>
              <w:keepNext w:val="0"/>
              <w:keepLines w:val="0"/>
              <w:pageBreakBefore w:val="0"/>
              <w:widowControl/>
              <w:suppressLineNumbers w:val="0"/>
              <w:bidi w:val="0"/>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应当由各县（市、区）营商局定期报送加分人员名单，地区营商局统一进行赋分。</w:t>
            </w:r>
          </w:p>
        </w:tc>
      </w:tr>
    </w:tbl>
    <w:p w14:paraId="692F3220">
      <w:pPr>
        <w:pStyle w:val="2"/>
        <w:keepNext w:val="0"/>
        <w:pageBreakBefore w:val="0"/>
        <w:bidi w:val="0"/>
        <w:spacing w:line="440" w:lineRule="exact"/>
        <w:ind w:left="0" w:leftChars="0" w:firstLine="0" w:firstLineChars="0"/>
        <w:rPr>
          <w:rFonts w:hint="eastAsia" w:ascii="宋体" w:hAnsi="宋体" w:eastAsia="宋体" w:cs="宋体"/>
          <w:sz w:val="21"/>
          <w:szCs w:val="21"/>
          <w:lang w:val="en-US" w:eastAsia="zh-CN"/>
        </w:rPr>
      </w:pPr>
    </w:p>
    <w:p w14:paraId="0CAFFCF8">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3A947029"/>
    <w:rsid w:val="448B2102"/>
    <w:rsid w:val="475A0C1C"/>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3FEC80E3783E4CBE85B375965C9BDB9F_13</vt:lpwstr>
  </property>
  <property fmtid="{D5CDD505-2E9C-101B-9397-08002B2CF9AE}" pid="4" name="KSOTemplateDocerSaveRecord">
    <vt:lpwstr>eyJoZGlkIjoiODA0MGYwZTA3ZjhkZGQ2MDZmM2VkNWJiNGM0NmY1OTkiLCJ1c2VySWQiOiIxMDE3MjYxMTk5In0=</vt:lpwstr>
  </property>
</Properties>
</file>