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9EFE5">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13875"/>
      <w:bookmarkStart w:id="1" w:name="_Toc2393"/>
      <w:r>
        <w:rPr>
          <w:rFonts w:hint="eastAsia" w:ascii="Times New Roman" w:hAnsi="Times New Roman" w:eastAsia="仿宋" w:cs="Times New Roman"/>
          <w:b/>
          <w:bCs/>
          <w:kern w:val="2"/>
          <w:sz w:val="32"/>
          <w:szCs w:val="32"/>
          <w:lang w:val="en-US" w:eastAsia="zh-CN" w:bidi="ar-SA"/>
        </w:rPr>
        <w:t>7</w:t>
      </w:r>
      <w:r>
        <w:rPr>
          <w:rFonts w:hint="eastAsia" w:eastAsia="仿宋" w:cs="Times New Roman"/>
          <w:b/>
          <w:bCs/>
          <w:kern w:val="2"/>
          <w:sz w:val="32"/>
          <w:szCs w:val="32"/>
          <w:lang w:val="en-US" w:eastAsia="zh-CN" w:bidi="ar-SA"/>
        </w:rPr>
        <w:t>1</w:t>
      </w:r>
      <w:r>
        <w:rPr>
          <w:rFonts w:hint="eastAsia" w:ascii="Times New Roman" w:hAnsi="Times New Roman" w:eastAsia="仿宋" w:cs="Times New Roman"/>
          <w:b/>
          <w:bCs/>
          <w:kern w:val="2"/>
          <w:sz w:val="32"/>
          <w:szCs w:val="32"/>
          <w:lang w:val="en-US" w:eastAsia="zh-CN" w:bidi="ar-SA"/>
        </w:rPr>
        <w:t>.大兴安岭地区行署关于印发《大兴安岭地区关于进一步优化政务服务提升行政效能推动“高效办成一件事”的工作方案》（2024年3月22日）</w:t>
      </w:r>
      <w:bookmarkEnd w:id="0"/>
      <w:bookmarkEnd w:id="1"/>
    </w:p>
    <w:bookmarkEnd w:id="2"/>
    <w:p w14:paraId="1C5842DF">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highlight w:val="none"/>
          <w:lang w:val="en-US" w:eastAsia="zh-CN"/>
        </w:rPr>
        <w:t>大署〔2024〕6号</w:t>
      </w:r>
    </w:p>
    <w:p w14:paraId="640740D0">
      <w:pPr>
        <w:pStyle w:val="7"/>
        <w:keepNext w:val="0"/>
        <w:keepLines w:val="0"/>
        <w:pageBreakBefore w:val="0"/>
        <w:widowControl w:val="0"/>
        <w:kinsoku/>
        <w:wordWrap/>
        <w:overflowPunct/>
        <w:topLinePunct w:val="0"/>
        <w:autoSpaceDE/>
        <w:autoSpaceDN/>
        <w:bidi w:val="0"/>
        <w:adjustRightInd/>
        <w:snapToGrid/>
        <w:spacing w:before="0" w:beforeLines="0" w:after="0" w:afterLines="0" w:line="4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各县（市、区）人民政府，地直、中省直有关单位：</w:t>
      </w:r>
    </w:p>
    <w:p w14:paraId="6EFD773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现将《大兴安岭地区关于进一步优化政务服务提升行政效能推动“高效办成一件事”的工作方案》</w:t>
      </w:r>
      <w:r>
        <w:rPr>
          <w:rFonts w:hint="eastAsia" w:ascii="宋体" w:hAnsi="宋体" w:eastAsia="宋体" w:cs="宋体"/>
          <w:sz w:val="21"/>
          <w:szCs w:val="21"/>
        </w:rPr>
        <w:t>印发给你们</w:t>
      </w:r>
      <w:r>
        <w:rPr>
          <w:rFonts w:hint="eastAsia" w:ascii="宋体" w:hAnsi="宋体" w:eastAsia="宋体" w:cs="宋体"/>
          <w:sz w:val="21"/>
          <w:szCs w:val="21"/>
          <w:lang w:eastAsia="zh-CN"/>
        </w:rPr>
        <w:t>，</w:t>
      </w:r>
      <w:r>
        <w:rPr>
          <w:rFonts w:hint="eastAsia" w:ascii="宋体" w:hAnsi="宋体" w:eastAsia="宋体" w:cs="宋体"/>
          <w:sz w:val="21"/>
          <w:szCs w:val="21"/>
        </w:rPr>
        <w:t>请</w:t>
      </w:r>
      <w:r>
        <w:rPr>
          <w:rFonts w:hint="eastAsia" w:ascii="宋体" w:hAnsi="宋体" w:eastAsia="宋体" w:cs="宋体"/>
          <w:sz w:val="21"/>
          <w:szCs w:val="21"/>
          <w:lang w:eastAsia="zh-CN"/>
        </w:rPr>
        <w:t>各</w:t>
      </w:r>
      <w:r>
        <w:rPr>
          <w:rFonts w:hint="eastAsia" w:ascii="宋体" w:hAnsi="宋体" w:eastAsia="宋体" w:cs="宋体"/>
          <w:sz w:val="21"/>
          <w:szCs w:val="21"/>
          <w:lang w:val="en-US" w:eastAsia="zh-CN"/>
        </w:rPr>
        <w:t>地各部门</w:t>
      </w:r>
      <w:r>
        <w:rPr>
          <w:rFonts w:hint="eastAsia" w:ascii="宋体" w:hAnsi="宋体" w:eastAsia="宋体" w:cs="宋体"/>
          <w:sz w:val="21"/>
          <w:szCs w:val="21"/>
        </w:rPr>
        <w:t>结合实际认真贯</w:t>
      </w:r>
      <w:r>
        <w:rPr>
          <w:rFonts w:hint="eastAsia" w:ascii="宋体" w:hAnsi="宋体" w:eastAsia="宋体" w:cs="宋体"/>
          <w:sz w:val="21"/>
          <w:szCs w:val="21"/>
          <w:lang w:eastAsia="zh-CN"/>
        </w:rPr>
        <w:t>彻落实。</w:t>
      </w:r>
    </w:p>
    <w:p w14:paraId="37C5B983">
      <w:pPr>
        <w:pStyle w:val="2"/>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p>
    <w:p w14:paraId="3FCF8F4D">
      <w:pPr>
        <w:pStyle w:val="2"/>
        <w:keepNext w:val="0"/>
        <w:keepLines w:val="0"/>
        <w:pageBreakBefore w:val="0"/>
        <w:widowControl w:val="0"/>
        <w:kinsoku/>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rPr>
      </w:pPr>
    </w:p>
    <w:p w14:paraId="2908B477">
      <w:pPr>
        <w:keepNext w:val="0"/>
        <w:keepLines w:val="0"/>
        <w:pageBreakBefore w:val="0"/>
        <w:widowControl w:val="0"/>
        <w:kinsoku/>
        <w:wordWrap w:val="0"/>
        <w:overflowPunct/>
        <w:topLinePunct w:val="0"/>
        <w:autoSpaceDE/>
        <w:autoSpaceDN/>
        <w:bidi w:val="0"/>
        <w:adjustRightInd/>
        <w:snapToGrid/>
        <w:spacing w:line="440" w:lineRule="exact"/>
        <w:ind w:left="0" w:leftChars="0"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黑龙江省</w:t>
      </w:r>
      <w:r>
        <w:rPr>
          <w:rFonts w:hint="eastAsia" w:ascii="宋体" w:hAnsi="宋体" w:eastAsia="宋体" w:cs="宋体"/>
          <w:sz w:val="21"/>
          <w:szCs w:val="21"/>
        </w:rPr>
        <w:t>大兴安岭地区</w:t>
      </w:r>
      <w:r>
        <w:rPr>
          <w:rFonts w:hint="eastAsia" w:ascii="宋体" w:hAnsi="宋体" w:eastAsia="宋体" w:cs="宋体"/>
          <w:sz w:val="21"/>
          <w:szCs w:val="21"/>
          <w:lang w:eastAsia="zh-CN"/>
        </w:rPr>
        <w:t>行政公署</w:t>
      </w:r>
    </w:p>
    <w:p w14:paraId="6BE1EC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24</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22</w:t>
      </w:r>
      <w:r>
        <w:rPr>
          <w:rFonts w:hint="eastAsia" w:ascii="宋体" w:hAnsi="宋体" w:eastAsia="宋体" w:cs="宋体"/>
          <w:sz w:val="21"/>
          <w:szCs w:val="21"/>
        </w:rPr>
        <w:t>日</w:t>
      </w:r>
    </w:p>
    <w:p w14:paraId="21C004E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p>
    <w:p w14:paraId="1043D44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大兴安岭地区</w:t>
      </w:r>
      <w:r>
        <w:rPr>
          <w:rFonts w:hint="eastAsia" w:ascii="宋体" w:hAnsi="宋体" w:eastAsia="宋体" w:cs="宋体"/>
          <w:b/>
          <w:bCs/>
          <w:sz w:val="21"/>
          <w:szCs w:val="21"/>
        </w:rPr>
        <w:t>关于进一步优化政务服务</w:t>
      </w:r>
    </w:p>
    <w:p w14:paraId="6C890AA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提升行政效能推动“高效办成一件事”</w:t>
      </w:r>
      <w:r>
        <w:rPr>
          <w:rFonts w:hint="eastAsia" w:ascii="宋体" w:hAnsi="宋体" w:eastAsia="宋体" w:cs="宋体"/>
          <w:b/>
          <w:bCs/>
          <w:sz w:val="21"/>
          <w:szCs w:val="21"/>
          <w:lang w:eastAsia="zh-CN"/>
        </w:rPr>
        <w:t>工作</w:t>
      </w:r>
      <w:r>
        <w:rPr>
          <w:rFonts w:hint="eastAsia" w:ascii="宋体" w:hAnsi="宋体" w:eastAsia="宋体" w:cs="宋体"/>
          <w:b/>
          <w:bCs/>
          <w:sz w:val="21"/>
          <w:szCs w:val="21"/>
          <w:lang w:val="en-US" w:eastAsia="zh-CN"/>
        </w:rPr>
        <w:t>方案</w:t>
      </w:r>
    </w:p>
    <w:p w14:paraId="22ED8A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为认真贯彻落实国家、省关于进一步优化政务服务提升行政效能，推动“高效办成一件事”有关工作要求，</w:t>
      </w:r>
      <w:r>
        <w:rPr>
          <w:rFonts w:hint="eastAsia" w:ascii="宋体" w:hAnsi="宋体" w:eastAsia="宋体" w:cs="宋体"/>
          <w:sz w:val="21"/>
          <w:szCs w:val="21"/>
          <w:lang w:eastAsia="zh-CN"/>
        </w:rPr>
        <w:t>根</w:t>
      </w:r>
      <w:r>
        <w:rPr>
          <w:rFonts w:hint="eastAsia" w:ascii="宋体" w:hAnsi="宋体" w:eastAsia="宋体" w:cs="宋体"/>
          <w:sz w:val="21"/>
          <w:szCs w:val="21"/>
          <w:lang w:val="en-US" w:eastAsia="zh-CN"/>
        </w:rPr>
        <w:t>据《黑龙江省人民政府关于进一步优化政务服务提升行政效能推动“高效办成一件事”的实施意见》（黑政发〔2024〕6号）精神，持续推动</w:t>
      </w:r>
      <w:r>
        <w:rPr>
          <w:rFonts w:hint="eastAsia" w:ascii="宋体" w:hAnsi="宋体" w:eastAsia="宋体" w:cs="宋体"/>
          <w:sz w:val="21"/>
          <w:szCs w:val="21"/>
        </w:rPr>
        <w:t>更多领域更大范围实现“高效办成一件事”，</w:t>
      </w:r>
      <w:r>
        <w:rPr>
          <w:rFonts w:hint="eastAsia" w:ascii="宋体" w:hAnsi="宋体" w:eastAsia="宋体" w:cs="宋体"/>
          <w:sz w:val="21"/>
          <w:szCs w:val="21"/>
          <w:lang w:val="en-US" w:eastAsia="zh-CN"/>
        </w:rPr>
        <w:t xml:space="preserve">更好满足企业群众办事需求，结合我区实际，制定本方案。 </w:t>
      </w:r>
    </w:p>
    <w:p w14:paraId="49EF688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一、总体要求</w:t>
      </w:r>
    </w:p>
    <w:p w14:paraId="5583D8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习近平新时代中国特色社会主义思想为指导，全面贯彻落实党的二十大精神和习近平总书记视察黑龙江省、大兴安岭地区期间重要讲话重要指示精神，认真落实党中央、国务院和省委、省政府关于优化营商环境和提升政务服务水平的决策部署，坚持问题导向和目标导向相结合，从企业和群众视角出发，把“高效办成一件事”作为优化政务服务、提升行政效能的重要抓手，推动模式创新，加快推进政务服务平台应用，强化数字赋能,推动线上线下融合发展，强化政务服务标准化、规范化、数字化一体推进，打造企业群众办事环节最简、材料最少、时限最短、费用最小、便利度最优、满意度最高的“六最”龙江特色营商环境品牌，最大限度利企便民，激发经济社会发展内生动力。</w:t>
      </w:r>
    </w:p>
    <w:p w14:paraId="6E8F6E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推动线上线下政务服务能力整体提升，完善“高效办成一件事”重点事项清单管理等机制，实现高效办理13个高频、面广、问题多的“一件事”，推动全区政务服务能力整体提升。到2027年，基本形成泛在可及、智慧便捷、公平普惠的高效政务服务体系，实现企业和个人两个全生命周期重要阶段“高效办成一件事”重点事项落地见效，大幅提升企业群众办事满意度、获得感。</w:t>
      </w:r>
    </w:p>
    <w:p w14:paraId="7A1DEBE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二、加强政务服务渠道建设，推动办事方式多元化</w:t>
      </w:r>
    </w:p>
    <w:p w14:paraId="268A8A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推进线下办事“只进一门”。完善集约高效的线下政务服务体系，地县两级政务服务中心要合理设置综合服务窗口和专业服务窗口，科学设计功能布局，设置休息区、等候区、自助办理、私密评价等功能区域，加快推进智慧政务服务大厅系统的应用。建立完善业务运转、服务规范、日常管理、人员培训等各项制度，进一步规范服务场所、服务窗口管理。严格落实首问负责、一次告知、限时办结等各项制度，发挥“办不成事”反映窗口作用，广泛收集企业和群众意见建议，切实改进服务质效。建立政务服务中心进驻事项负面清单制度，除场地限制或涉及国家秘密等特殊情形外，原则上政务服务事项均应纳入政务服务中心集中办理，不得在政务服务中心外收件、受理、出件，严禁“明进暗不进”。完善“首席事务代表”制度，杜绝事项办理“体外循环”、“先线下预审、后网上申报”。有关部门单设的政务服务场所、窗口应整合并入本级政务服务中心，确不具备整合条件的，须经本级人民政府批准并纳入一体化管理，在窗口设置、功能区域、服务规范等方面与政务服务中心执行同一标准，按统一要求提供规范服务。各县（市、区）要结合实际统筹推进乡镇（街道）便民服务中心和村（社区）便民服务站建设，统一规范功能布局、窗口设置、服务机制等，推进劳动就业、社会保险、医疗卫生、养老服务等领域高频政务服务事项向基层延伸，实现“就近办”，切实让广大居民能够近距离享受到优质高效的服务，打造“15分钟政务服务圈”。鼓励在银行网点、邮政网点、园区、大型商超、文体场馆等有条件、有需求的场所设置便民服务点，探索通过集成式自助终端提供“全时在线”服务。〔牵头单位：地区营商环境局；责任单位：地直、中省直各相关单位，各县（市、区）政府；完成时限：2024年12月底前取得阶段性成效，持续推进〕</w:t>
      </w:r>
    </w:p>
    <w:p w14:paraId="082D7B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推进线上办事“一网通办”。以全省一体化政务服务平台为总入口、总枢纽、总支撑，实现全区政务服务事项统一受理、数据实时汇聚、办事申请“一次提交”、办理结果“多端获取”。持续提升政务服务网上办理深度，推进事项应上尽上、业务办理系统应接尽接，实现政务服务从网上可办向好办易办转变。持续深化政务服务事项“五级六十同”标准化工作，除法律法规另有规定或涉及国家秘密等外，各级政务服务事项应全部纳入政务服务事项库统一规范管理,实现同一政务服务事项受理条件、服务对象、办理流程、申请材料、法定办结时限、办理结果等要素统一，提升办事服务指南准确性。坚持线上线下服务渠道同源发布、同步更新，做到线上线下无差别受理、同标准办理。建立健全政务服务事项动态管理机制，实现政务服务事项动态更新、联动管理。〔牵头单位：地区营商环境局；责任单位：地直、中省直各相关单位，各县（市、区）政府；完成时限：2024年12月底前取得阶段性成效，持续推进〕</w:t>
      </w:r>
    </w:p>
    <w:p w14:paraId="3698A7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推进企业和群众诉求“一线应答”。全面推行“民诉即办”工作机制，充分发挥12345政务服务便民热线“总客服”作用，地县分级优化整合非紧急类诉求反映渠道，实现“多口归一”、“一口受理”。完善全区诉求事项标准化管理体系，健全诉求快速分派、职责争议快速裁定、未诉先办等机制，强化问题预警和数据分析。进一步细化12345与110非警务警情对接转办事项，提升非警务警情处置质效。加强12345热线与政务服务平台投诉建议、“好差评”等业务协同，实现“反映、分拨、办理、监督、告知、好评办结（差评重办）”闭环管理。〔牵头单位：地区营商环境局；责任单位：地直、中省直各相关单位，各县（市、区）政府；完成时限：2024年9月底前取得阶段性成效，持续推进〕</w:t>
      </w:r>
    </w:p>
    <w:p w14:paraId="7CF1A01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三、深化政务服务模式创新，推动办事流程最优化</w:t>
      </w:r>
    </w:p>
    <w:p w14:paraId="74F0BC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推进关联事项集成办。从企业群众视角出发，强化跨部门政策、业务、系统协同和数据共享，持续拓展一体化政务服务平台“高效办成一件事”主题事项内容，实行一次申请、一窗（网）受理、一链办理、一窗（网）出件、一次办好、一体监管、一键评价“七个一”的服务模式，为企业群众提供“一件事一次办”、“一类事一站办”服务。强化线上线下联动，开展并联审批、联合评审、联合验收等，大幅压减办理时长和办事成本。〔牵头单位：地区营商环境局；责任单位：地直、中省直各相关单位，各县（市、区）政府；完成时限：2024年12月底前取得阶段性成效，持续推进〕</w:t>
      </w:r>
    </w:p>
    <w:p w14:paraId="499730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推进容缺事项承诺办。以政务服务部门清楚告知、企业群众诚信守诺为基础，对风险可控、纠错成本低且能够通过事中事后监管有效防范风险的政务服务事项，推行“告知承诺+容缺办理”审批服务模式。按照利企便民原则，根据政务服务事项实施难度、风险可控程度、服务对象信用状况等，梳理公布可采取告知承诺制方式办理和可容缺办理的政务服务事项清单，明确承诺制事项范围和适用对象，规范承诺制实施内容和工作流程，科学、细致编制或复用本行业、本系统承诺告知书和行政审批承诺书规范文本。加强审批、监管、执法等部门协同，建立差异化的告知承诺事后核查和风险防范机制，并逐步推动将承诺和履约信息共享至省公共信用信息平台。〔牵头单位：地区营商环境局；责任单位：地区司法局等地直、中省直各相关单位，各县（市、区）政府；完成时限：2024年12月底前取得阶段性成效，持续推进〕</w:t>
      </w:r>
    </w:p>
    <w:p w14:paraId="4FB6B5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推进异地事项跨域办。聚焦企业跨区域经营和群众异地办事需求，按照全程网办、异地代收代办、多地联办等业务模式，推动更多事项“全省通办”、“全区通办”。地县两级政务服务中心设立“全省通办”、“跨省通办”、“全区通办”代收代办窗口，建立收件、办理两地窗口协同联动工作机制，明确代收代办相关单位责任分工，通过视频办理等方式提供远程帮办服务。贯彻落实我省与东北三省一区、海南省等省区“跨省通办”合作事项，推进与“跨省通办”省份相关地（市）开展政务服务领域合作交流。〔牵头单位：地区营商环境局；责任单位：地直、中省直各相关单位，各县（市、区）政府；完成时限：2024年9月底前取得阶段性成效，持续推进〕</w:t>
      </w:r>
    </w:p>
    <w:p w14:paraId="6C0776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推进政策服务免申办。持续优化惠企政策直达快享服务机制，实时动态监测惠企政策事项线上推送率、网上可办率、兑现落实率和咨询答复率，实现惠企政策同源发布、精准匹配、直达可及、落地见效。全面梳理行政给付、资金补贴扶持、税收优惠等政策条件和适用规则，精准匹配符合政策条件的企业群众，逐步推动政策“免申即享”提质扩面。对依法确需申报办理的，应自动生成申请表，方便企业群众一次申报、快速办理。及时更新政务服务平台惠企政策专区，实现利企便民政策和服务精准直达。优化政务服务平台企业个人专属服务空间，丰富政策库，实现利企便民政策和服务精准直达。〔牵头单位：地区营商环境局；责任单位：地直、中省直各相关单位，各县（市、区）政府；完成时限：2024年12月底前取得阶段性成效，持续推进〕</w:t>
      </w:r>
    </w:p>
    <w:p w14:paraId="472439E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四、强化政务服务数字赋能，推动办事材料最简化</w:t>
      </w:r>
    </w:p>
    <w:p w14:paraId="1D05D39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充分发挥政务服务平台支撑作用。依托全省一体化政务服务平台，推动各级各部门应用公共应用支撑能力一体化相关系统，提升统一的自然人和法人身份认证、跨域电子印章验签、办件调度、用户管理等支撑能力。依托“高效办成一件事”系统，推动我区自建业务办理系统与全省一体化政务服务平台互联互通、业务协同。〔牵头单位：地区营商环境局；责任单位：地直、中省直各相关单位，各县（市、区）政府；完成时限：持续推进〕</w:t>
      </w:r>
    </w:p>
    <w:p w14:paraId="27049A8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着力提升政务数据共享实效。健全政务数据共享责任清单机制，依托省地两级政务数据共享交换平台，支撑政务数据跨地区、跨部门、跨层级、跨系统、跨业务共享应用，实现按需回流、直达基层。推进政务数据向省政务数据资源中心汇聚，实现全区政务数据“一本账”展示、“一站式”申请、“一平台”调度。从源头加强数据治理，依据省级数据规范，推动实现“一数一源一标准”。依托省电子证照系统和统一审批系统，推动电子证照跨地区跨部门互通互认和扩大应用领域，全面推进政务服务事项申请材料与电子证照关联，原则上政府部门核发的材料免于提交、能够通过数据共享核验的事项免于提交证明材料、能够提供电子证照的免于提交实体证照。建立健全政务数据共享安全保障机制，依法依规共享使用政务数据，加强全流程安全管理，加大对涉及商业秘密、个人信息等数据的保护力度。〔牵头单位：地区营商环境局；责任单位：地直、中省直各相关单位，各县（市、区）政府；完成时限：持续推进〕</w:t>
      </w:r>
    </w:p>
    <w:p w14:paraId="102160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持续加强新技术全流程应用。通过智能审批、远程帮办代办等方式，优化重构申请条件、申报方式、受理模式、审核程序、发证方式、管理架构，完善智能预填、智能预审等服务功能，逐步实现政务服务向人机交互和数据分析方向转型发展。加强高频政务服务事项的用户测试、模拟办理、体验优化，探索应用自然语言大模型等技术，优化智能问答、智能搜索、智能导办等服务。〔牵头单位：地区营商环境局；责任单位：地直、中省直各相关单位，各县（市、区）政府；完成时限：持续推进〕</w:t>
      </w:r>
    </w:p>
    <w:p w14:paraId="6071491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五、推动政务服务扩面增效，推动办事成本最小化</w:t>
      </w:r>
    </w:p>
    <w:p w14:paraId="1C0E07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强化帮办代办服务。健全线上线下帮办代办体系，明确帮办代办工作职责、责任边界、服务内容、保障机制等。地县两级政务服务中心要组建帮办代办队伍，优化线上高频服务事项帮办代办，通过开展远程协助，提供统一业务咨询、审前辅导、远程导办等帮办代办服务，提供线上高频服务事项帮办代办服务，持续优化线下帮办代办服务，细化工作流程，建立老年人、残疾人绿色通道，指导企业和群众熟悉办事流程，指导填写各类表单，递交申报材料，线上申请事项，对有特殊需求的，可以提供上门服务，为老年人、残疾人等特殊群体提供更为便利服务。在产业园区等推动建立包联领导、服务专班和首席服务员工作机制，为项目提供全流程帮办代办服务。〔牵头单位：地区营商环境局；责任单位：地直、中省直各相关关单位，各县（市、区）政府；完成时限：持续推进〕</w:t>
      </w:r>
    </w:p>
    <w:p w14:paraId="491042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优化公共服务供给。优化公共教育、劳动就业、医疗卫生、养老服务、托育服务、住房保障、社会救助等领域公共服务供给质量，持续推动与企业群众生产生活密切相关的水电气热、网络通信等公用事业领域高频办理服务事项纳入政务服务中心，按标准接入政务服务平台实现一体化管理。推动公用事业单位从企业群众视角梳理服务事项，强化流程优化、系统联通、数据共享和业务协同，重点推进水电气热过户和不动产登记、水电气网报装和投资建设审批等关联事项跨领域集成办理。〔责任单位：地区教育局、地区人社局、地区卫健委、地区民政局、地区住建局、地区通信管理办公室、地区营商环境局、国网大兴安岭供电公司等地直、中省直各相关单位、各县（市、区）政府；完成时限：持续推进〕</w:t>
      </w:r>
    </w:p>
    <w:p w14:paraId="719B9D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拓展增值服务内容。依托全省一体化政务服务平台开设线上企业服务专区，各级政务服务中心设立“企业之家（企业服务专区）”，推出涉企服务“一类事”场景，提供综合咨询、培育指导、政策兑现、纾困解难、投诉受理等“一站式”、精准化、个性化的优质衍生服务。统筹行业协会商会、市场化专业服务机构和工信、司法、金融、人社、科技、商务等部门涉企服务资源，为企业提供政策、法律、金融、人才、科创、国际贸易、投诉受理等定制化、套餐式服务。〔牵头单位：地区营商环境局；责任单位：地直、中省直各相关单位、各县（市、区）政府；完成时限：持续推进〕</w:t>
      </w:r>
    </w:p>
    <w:p w14:paraId="67F6BD3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六、夯实政务服务工作基础，推动办事规则制度化</w:t>
      </w:r>
    </w:p>
    <w:p w14:paraId="4A9C8B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健全政务服务标准体系。按照全省一体化政务服务平台运营管理标准，落实政务服务事项与行政许可事项清单、权责清单联动机制，强化政务服务事项实施清单标准化规范化管理。“高效办成一件事”重点事项牵头和责任单位要精细化梳理设定依据、受理条件、申请材料、办结时限、收费标准、办理结果等要素，编制集成办理“一件事”工作指引、办事指南和操作规程，推动实现“全省通办”、“跨省通办”、“全区通办”。〔牵头单位：地区营商环境局；责任单位：地直、中省直各相关单位、各县（市、区）政府；完成时限：持续推进〕</w:t>
      </w:r>
    </w:p>
    <w:p w14:paraId="4A595C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十五）强化政务服务制度供给。鼓励各地各部门将行之有效并可长期坚持的政务服务创新做法以法规政策形式予以固化。各地各部门要及时清理和修订与政务服务改革不相适应的行政规范性文件，强化相关业务领域制度保障，破解集成办、承诺办、跨域办、免申办等创新服务模式的制度障碍。完善数字化应用配套政策，保障电子证照和政务数据高效共享应用、电子档案单套归档等法律效力。〔责任单位：地区营商环境局、地区司法局、各县（市、区）政府；完成时限：持续推进〕</w:t>
      </w:r>
    </w:p>
    <w:p w14:paraId="4F5920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健全政务服务工作体系。推进地、县、乡、村四级政务服务体系建设，健全一体联动、高效便捷、权责清晰的工作机制。加强各级政务服务窗口从业人员配备、管理、培训和考核，强化日常管理和窗口工作人员培训，严明工作纪律，端正服务态度，熟练掌握业务标准、流程，不断提升服务能力和意识，创新政务服务人才引进、培养、选拔和评价机制，持续提升干部队伍法治思维、服务意识和数字素养，强化政务服务专业化队伍建设。〔牵头单位：地区营商环境局、地区人社局、各县（市、区）政府；完成时限：持续推进〕</w:t>
      </w:r>
    </w:p>
    <w:p w14:paraId="76A0126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七、保障措施</w:t>
      </w:r>
    </w:p>
    <w:p w14:paraId="2FB7DC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七）加强组织领导。“高效办成一件事”工作纳入全区优化营商环境专项行动工作任务，地区优化营商环境领导小组办公室负责指导、协调和督促各地各部门提供优质规范的“一件事”服务。各地各部门要切实加强组织领导，压实责任，确保各项任务尽快落地见效。</w:t>
      </w:r>
    </w:p>
    <w:p w14:paraId="1C30C9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十八）落实主体责任。对列入国务院“高效办成一件事”集中攻关和创新示范重点事项的，牵头部门与责任部门于2024年3月底前完成全部改革任务，实现实质性运行，形成可复制可推广经验；其他“一件事”重点事项于2024年6月底前完成全部改革任务，实现实质性运行。并结合实际持续拓展“高效办成一件事”事项范围。</w:t>
      </w:r>
    </w:p>
    <w:p w14:paraId="289E91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九）加强宣传推广。各地各部门要加强政策宣传，及时向社会发布“高效办成一件事”事项清单、办事流程和办事指南等相关信息，提高企业和群众的知晓度、参与度。地区优化营商环境领导小组办公室要加强对推进“高效办成一件事”进展成效、经验做法的总结和复制推广。</w:t>
      </w:r>
    </w:p>
    <w:p w14:paraId="3A4C1666">
      <w:pPr>
        <w:pStyle w:val="2"/>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2"/>
          <w:sz w:val="21"/>
          <w:szCs w:val="21"/>
          <w:lang w:val="en-US" w:eastAsia="zh-CN" w:bidi="ar-SA"/>
        </w:rPr>
      </w:pPr>
    </w:p>
    <w:p w14:paraId="72AD52EF">
      <w:pPr>
        <w:pStyle w:val="2"/>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附件：“高效办成一件事”2024年度重点事项清单</w:t>
      </w:r>
    </w:p>
    <w:p w14:paraId="04854A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000000"/>
          <w:sz w:val="21"/>
          <w:szCs w:val="21"/>
          <w:lang w:val="en-US" w:eastAsia="zh-CN"/>
        </w:rPr>
      </w:pPr>
    </w:p>
    <w:p w14:paraId="775E979E">
      <w:pPr>
        <w:keepNext w:val="0"/>
        <w:pageBreakBefore w:val="0"/>
        <w:bidi w:val="0"/>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6AB6E5BF">
      <w:pPr>
        <w:keepNext w:val="0"/>
        <w:pageBreakBefore w:val="0"/>
        <w:bidi w:val="0"/>
        <w:spacing w:beforeLines="50" w:afterLines="5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附件：</w:t>
      </w:r>
    </w:p>
    <w:p w14:paraId="65F54ACC">
      <w:pPr>
        <w:keepNext w:val="0"/>
        <w:pageBreakBefore w:val="0"/>
        <w:bidi w:val="0"/>
        <w:spacing w:beforeLines="50" w:afterLines="50"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“高效办成一件事”2024年度重点事项清单</w:t>
      </w:r>
    </w:p>
    <w:tbl>
      <w:tblPr>
        <w:tblStyle w:val="10"/>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67"/>
        <w:gridCol w:w="1850"/>
        <w:gridCol w:w="3536"/>
        <w:gridCol w:w="2977"/>
      </w:tblGrid>
      <w:tr w14:paraId="5776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jc w:val="center"/>
        </w:trPr>
        <w:tc>
          <w:tcPr>
            <w:tcW w:w="739" w:type="dxa"/>
            <w:noWrap w:val="0"/>
            <w:vAlign w:val="center"/>
          </w:tcPr>
          <w:p w14:paraId="7520A874">
            <w:pPr>
              <w:keepNext w:val="0"/>
              <w:pageBreakBefore w:val="0"/>
              <w:bidi w:val="0"/>
              <w:spacing w:line="440" w:lineRule="exact"/>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阶段</w:t>
            </w:r>
          </w:p>
        </w:tc>
        <w:tc>
          <w:tcPr>
            <w:tcW w:w="767" w:type="dxa"/>
            <w:noWrap w:val="0"/>
            <w:vAlign w:val="center"/>
          </w:tcPr>
          <w:p w14:paraId="131D9748">
            <w:pPr>
              <w:keepNext w:val="0"/>
              <w:pageBreakBefore w:val="0"/>
              <w:bidi w:val="0"/>
              <w:spacing w:line="440" w:lineRule="exact"/>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1850" w:type="dxa"/>
            <w:noWrap w:val="0"/>
            <w:vAlign w:val="center"/>
          </w:tcPr>
          <w:p w14:paraId="25EF4287">
            <w:pPr>
              <w:keepNext w:val="0"/>
              <w:pageBreakBefore w:val="0"/>
              <w:bidi w:val="0"/>
              <w:spacing w:line="440" w:lineRule="exact"/>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“一件事”</w:t>
            </w:r>
          </w:p>
          <w:p w14:paraId="2C66427F">
            <w:pPr>
              <w:keepNext w:val="0"/>
              <w:pageBreakBefore w:val="0"/>
              <w:bidi w:val="0"/>
              <w:spacing w:line="440" w:lineRule="exact"/>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名称</w:t>
            </w:r>
          </w:p>
        </w:tc>
        <w:tc>
          <w:tcPr>
            <w:tcW w:w="3536" w:type="dxa"/>
            <w:noWrap w:val="0"/>
            <w:vAlign w:val="center"/>
          </w:tcPr>
          <w:p w14:paraId="0C5EB1D1">
            <w:pPr>
              <w:keepNext w:val="0"/>
              <w:pageBreakBefore w:val="0"/>
              <w:bidi w:val="0"/>
              <w:spacing w:line="440" w:lineRule="exact"/>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具体事项</w:t>
            </w:r>
          </w:p>
        </w:tc>
        <w:tc>
          <w:tcPr>
            <w:tcW w:w="2977" w:type="dxa"/>
            <w:noWrap w:val="0"/>
            <w:vAlign w:val="center"/>
          </w:tcPr>
          <w:p w14:paraId="5D5B304A">
            <w:pPr>
              <w:keepNext w:val="0"/>
              <w:pageBreakBefore w:val="0"/>
              <w:bidi w:val="0"/>
              <w:spacing w:line="440" w:lineRule="exact"/>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责任部门</w:t>
            </w:r>
          </w:p>
          <w:p w14:paraId="27524568">
            <w:pPr>
              <w:keepNext w:val="0"/>
              <w:pageBreakBefore w:val="0"/>
              <w:bidi w:val="0"/>
              <w:spacing w:line="440" w:lineRule="exact"/>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（★为该“一件事”牵头部门)</w:t>
            </w:r>
          </w:p>
        </w:tc>
      </w:tr>
      <w:tr w14:paraId="2C93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69" w:type="dxa"/>
            <w:gridSpan w:val="5"/>
            <w:noWrap w:val="0"/>
            <w:vAlign w:val="center"/>
          </w:tcPr>
          <w:p w14:paraId="32A7EA0D">
            <w:pPr>
              <w:keepNext w:val="0"/>
              <w:pageBreakBefore w:val="0"/>
              <w:bidi w:val="0"/>
              <w:spacing w:line="440" w:lineRule="exac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(一)企业事项</w:t>
            </w:r>
          </w:p>
        </w:tc>
      </w:tr>
      <w:tr w14:paraId="0443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restart"/>
            <w:noWrap w:val="0"/>
            <w:vAlign w:val="center"/>
          </w:tcPr>
          <w:p w14:paraId="51E3E23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准</w:t>
            </w:r>
          </w:p>
          <w:p w14:paraId="01F310EB">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入</w:t>
            </w:r>
          </w:p>
          <w:p w14:paraId="7D882611">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准</w:t>
            </w:r>
          </w:p>
          <w:p w14:paraId="7167BD3A">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营</w:t>
            </w:r>
          </w:p>
        </w:tc>
        <w:tc>
          <w:tcPr>
            <w:tcW w:w="767" w:type="dxa"/>
            <w:vMerge w:val="restart"/>
            <w:noWrap w:val="0"/>
            <w:vAlign w:val="center"/>
          </w:tcPr>
          <w:p w14:paraId="09D990B1">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50" w:type="dxa"/>
            <w:vMerge w:val="restart"/>
            <w:noWrap w:val="0"/>
            <w:vAlign w:val="center"/>
          </w:tcPr>
          <w:p w14:paraId="50F4791E">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企业信息</w:t>
            </w:r>
          </w:p>
          <w:p w14:paraId="5DBA77FB">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变更“一件事”</w:t>
            </w:r>
          </w:p>
        </w:tc>
        <w:tc>
          <w:tcPr>
            <w:tcW w:w="3536" w:type="dxa"/>
            <w:noWrap w:val="0"/>
            <w:vAlign w:val="center"/>
          </w:tcPr>
          <w:p w14:paraId="3FF06671">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企业变更登记</w:t>
            </w:r>
          </w:p>
        </w:tc>
        <w:tc>
          <w:tcPr>
            <w:tcW w:w="2977" w:type="dxa"/>
            <w:noWrap w:val="0"/>
            <w:vAlign w:val="center"/>
          </w:tcPr>
          <w:p w14:paraId="36714FFE">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市场监管局</w:t>
            </w:r>
          </w:p>
        </w:tc>
      </w:tr>
      <w:tr w14:paraId="479F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4B1B95D5">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720D9C06">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467C5C00">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514FC6E1">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企业印章刻制</w:t>
            </w:r>
          </w:p>
        </w:tc>
        <w:tc>
          <w:tcPr>
            <w:tcW w:w="2977" w:type="dxa"/>
            <w:noWrap w:val="0"/>
            <w:vAlign w:val="center"/>
          </w:tcPr>
          <w:p w14:paraId="1296E86F">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公安</w:t>
            </w:r>
            <w:r>
              <w:rPr>
                <w:rFonts w:hint="eastAsia" w:ascii="宋体" w:hAnsi="宋体" w:eastAsia="宋体" w:cs="宋体"/>
                <w:kern w:val="0"/>
                <w:sz w:val="21"/>
                <w:szCs w:val="21"/>
                <w:lang w:val="en-US" w:eastAsia="zh-CN"/>
              </w:rPr>
              <w:t>局</w:t>
            </w:r>
          </w:p>
        </w:tc>
      </w:tr>
      <w:tr w14:paraId="5D33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3F1192AE">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51226908">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3C6B3666">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4B65ADAD">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基本账户变更</w:t>
            </w:r>
          </w:p>
        </w:tc>
        <w:tc>
          <w:tcPr>
            <w:tcW w:w="2977" w:type="dxa"/>
            <w:noWrap w:val="0"/>
            <w:vAlign w:val="center"/>
          </w:tcPr>
          <w:p w14:paraId="43B2DEAD">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人民银行</w:t>
            </w:r>
            <w:r>
              <w:rPr>
                <w:rFonts w:hint="eastAsia" w:ascii="宋体" w:hAnsi="宋体" w:eastAsia="宋体" w:cs="宋体"/>
                <w:kern w:val="0"/>
                <w:sz w:val="21"/>
                <w:szCs w:val="21"/>
                <w:lang w:val="en-US" w:eastAsia="zh-CN"/>
              </w:rPr>
              <w:t>大兴安岭地区</w:t>
            </w:r>
            <w:r>
              <w:rPr>
                <w:rFonts w:hint="eastAsia" w:ascii="宋体" w:hAnsi="宋体" w:eastAsia="宋体" w:cs="宋体"/>
                <w:kern w:val="0"/>
                <w:sz w:val="21"/>
                <w:szCs w:val="21"/>
              </w:rPr>
              <w:t>分行</w:t>
            </w:r>
          </w:p>
        </w:tc>
      </w:tr>
      <w:tr w14:paraId="3C0E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1E288AF7">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0587BAB5">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5EFA7E7E">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6ED7585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税控设备变更发行</w:t>
            </w:r>
          </w:p>
        </w:tc>
        <w:tc>
          <w:tcPr>
            <w:tcW w:w="2977" w:type="dxa"/>
            <w:noWrap w:val="0"/>
            <w:vAlign w:val="center"/>
          </w:tcPr>
          <w:p w14:paraId="4FA9A68D">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税务局</w:t>
            </w:r>
          </w:p>
        </w:tc>
      </w:tr>
      <w:tr w14:paraId="5FDF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3EAA234D">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788BECB2">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4AF8E29D">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45136EDB">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社会保险登记变更</w:t>
            </w:r>
          </w:p>
        </w:tc>
        <w:tc>
          <w:tcPr>
            <w:tcW w:w="2977" w:type="dxa"/>
            <w:noWrap w:val="0"/>
            <w:vAlign w:val="center"/>
          </w:tcPr>
          <w:p w14:paraId="067702C2">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p>
        </w:tc>
      </w:tr>
      <w:tr w14:paraId="63CF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1667CD27">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0122F131">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787B259F">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77B889C2">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住房公积金企业缴存登记变更</w:t>
            </w:r>
          </w:p>
        </w:tc>
        <w:tc>
          <w:tcPr>
            <w:tcW w:w="2977" w:type="dxa"/>
            <w:noWrap w:val="0"/>
            <w:vAlign w:val="center"/>
          </w:tcPr>
          <w:p w14:paraId="3D95B47D">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地区住房公积金管理中心</w:t>
            </w:r>
          </w:p>
        </w:tc>
      </w:tr>
      <w:tr w14:paraId="1D9A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noWrap w:val="0"/>
            <w:vAlign w:val="center"/>
          </w:tcPr>
          <w:p w14:paraId="09018CDB">
            <w:pPr>
              <w:keepNext w:val="0"/>
              <w:pageBreakBefore w:val="0"/>
              <w:bidi w:val="0"/>
              <w:spacing w:line="440" w:lineRule="exact"/>
              <w:jc w:val="center"/>
              <w:rPr>
                <w:rFonts w:hint="eastAsia" w:ascii="宋体" w:hAnsi="宋体" w:eastAsia="宋体" w:cs="宋体"/>
                <w:kern w:val="0"/>
                <w:sz w:val="21"/>
                <w:szCs w:val="21"/>
              </w:rPr>
            </w:pPr>
          </w:p>
        </w:tc>
        <w:tc>
          <w:tcPr>
            <w:tcW w:w="767" w:type="dxa"/>
            <w:vMerge w:val="restart"/>
            <w:noWrap w:val="0"/>
            <w:vAlign w:val="center"/>
          </w:tcPr>
          <w:p w14:paraId="758DFEC1">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50" w:type="dxa"/>
            <w:vMerge w:val="restart"/>
            <w:noWrap w:val="0"/>
            <w:vAlign w:val="center"/>
          </w:tcPr>
          <w:p w14:paraId="2928FAB9">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开办运输</w:t>
            </w:r>
          </w:p>
          <w:p w14:paraId="2EE965C1">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企业“一件事”</w:t>
            </w:r>
          </w:p>
        </w:tc>
        <w:tc>
          <w:tcPr>
            <w:tcW w:w="3536" w:type="dxa"/>
            <w:noWrap w:val="0"/>
            <w:vAlign w:val="center"/>
          </w:tcPr>
          <w:p w14:paraId="62FC2597">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企业营业执照信息核验</w:t>
            </w:r>
          </w:p>
        </w:tc>
        <w:tc>
          <w:tcPr>
            <w:tcW w:w="2977" w:type="dxa"/>
            <w:noWrap w:val="0"/>
            <w:vAlign w:val="center"/>
          </w:tcPr>
          <w:p w14:paraId="4E1AA40F">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市场监管局</w:t>
            </w:r>
          </w:p>
        </w:tc>
      </w:tr>
      <w:tr w14:paraId="3EA1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noWrap w:val="0"/>
            <w:vAlign w:val="center"/>
          </w:tcPr>
          <w:p w14:paraId="21F09572">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1A174A5B">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37DB9387">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47864172">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道路货物运输经营许可(危险货物道路运输经营、使用总质量 4500 千克及以下普通货运车辆从事普通货运经营的除外)</w:t>
            </w:r>
          </w:p>
        </w:tc>
        <w:tc>
          <w:tcPr>
            <w:tcW w:w="2977" w:type="dxa"/>
            <w:vMerge w:val="restart"/>
            <w:noWrap w:val="0"/>
            <w:vAlign w:val="center"/>
          </w:tcPr>
          <w:p w14:paraId="2B665AC2">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交通运输</w:t>
            </w:r>
            <w:r>
              <w:rPr>
                <w:rFonts w:hint="eastAsia" w:ascii="宋体" w:hAnsi="宋体" w:eastAsia="宋体" w:cs="宋体"/>
                <w:kern w:val="0"/>
                <w:sz w:val="21"/>
                <w:szCs w:val="21"/>
                <w:lang w:val="en-US" w:eastAsia="zh-CN"/>
              </w:rPr>
              <w:t>局</w:t>
            </w:r>
          </w:p>
        </w:tc>
      </w:tr>
      <w:tr w14:paraId="26D8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9" w:type="dxa"/>
            <w:vMerge w:val="continue"/>
            <w:noWrap w:val="0"/>
            <w:vAlign w:val="center"/>
          </w:tcPr>
          <w:p w14:paraId="2F792B13">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656F449A">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4D22A957">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44F37051">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普通道路货物运输车辆《道路运输证》办理</w:t>
            </w:r>
          </w:p>
        </w:tc>
        <w:tc>
          <w:tcPr>
            <w:tcW w:w="2977" w:type="dxa"/>
            <w:vMerge w:val="continue"/>
            <w:noWrap w:val="0"/>
            <w:vAlign w:val="center"/>
          </w:tcPr>
          <w:p w14:paraId="6E3816E9">
            <w:pPr>
              <w:keepNext w:val="0"/>
              <w:pageBreakBefore w:val="0"/>
              <w:bidi w:val="0"/>
              <w:spacing w:line="440" w:lineRule="exact"/>
              <w:jc w:val="center"/>
              <w:rPr>
                <w:rFonts w:hint="eastAsia" w:ascii="宋体" w:hAnsi="宋体" w:eastAsia="宋体" w:cs="宋体"/>
                <w:kern w:val="0"/>
                <w:sz w:val="21"/>
                <w:szCs w:val="21"/>
              </w:rPr>
            </w:pPr>
          </w:p>
        </w:tc>
      </w:tr>
      <w:tr w14:paraId="34A3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9" w:type="dxa"/>
            <w:vMerge w:val="continue"/>
            <w:noWrap w:val="0"/>
            <w:vAlign w:val="center"/>
          </w:tcPr>
          <w:p w14:paraId="7BA2734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restart"/>
            <w:noWrap w:val="0"/>
            <w:vAlign w:val="center"/>
          </w:tcPr>
          <w:p w14:paraId="19A7C5AC">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50" w:type="dxa"/>
            <w:vMerge w:val="restart"/>
            <w:noWrap w:val="0"/>
            <w:vAlign w:val="center"/>
          </w:tcPr>
          <w:p w14:paraId="3AD50FB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开办餐饮店</w:t>
            </w:r>
          </w:p>
          <w:p w14:paraId="5B68BE4F">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“一件事”</w:t>
            </w:r>
          </w:p>
        </w:tc>
        <w:tc>
          <w:tcPr>
            <w:tcW w:w="3536" w:type="dxa"/>
            <w:noWrap w:val="0"/>
            <w:vAlign w:val="center"/>
          </w:tcPr>
          <w:p w14:paraId="56449D0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企业营业执照信息核验</w:t>
            </w:r>
          </w:p>
        </w:tc>
        <w:tc>
          <w:tcPr>
            <w:tcW w:w="2977" w:type="dxa"/>
            <w:vMerge w:val="restart"/>
            <w:noWrap w:val="0"/>
            <w:vAlign w:val="center"/>
          </w:tcPr>
          <w:p w14:paraId="55A73FC3">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市场监管局</w:t>
            </w:r>
          </w:p>
        </w:tc>
      </w:tr>
      <w:tr w14:paraId="33DD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39" w:type="dxa"/>
            <w:vMerge w:val="continue"/>
            <w:noWrap w:val="0"/>
            <w:vAlign w:val="top"/>
          </w:tcPr>
          <w:p w14:paraId="22FD31D5">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777F06B6">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21EE88EB">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4A41BB8C">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食品经营许可</w:t>
            </w:r>
          </w:p>
        </w:tc>
        <w:tc>
          <w:tcPr>
            <w:tcW w:w="2977" w:type="dxa"/>
            <w:vMerge w:val="continue"/>
            <w:noWrap w:val="0"/>
            <w:vAlign w:val="center"/>
          </w:tcPr>
          <w:p w14:paraId="40503FA2">
            <w:pPr>
              <w:keepNext w:val="0"/>
              <w:pageBreakBefore w:val="0"/>
              <w:bidi w:val="0"/>
              <w:spacing w:line="440" w:lineRule="exact"/>
              <w:jc w:val="center"/>
              <w:rPr>
                <w:rFonts w:hint="eastAsia" w:ascii="宋体" w:hAnsi="宋体" w:eastAsia="宋体" w:cs="宋体"/>
                <w:kern w:val="0"/>
                <w:sz w:val="21"/>
                <w:szCs w:val="21"/>
              </w:rPr>
            </w:pPr>
          </w:p>
        </w:tc>
      </w:tr>
      <w:tr w14:paraId="15ED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9" w:type="dxa"/>
            <w:vMerge w:val="continue"/>
            <w:noWrap w:val="0"/>
            <w:vAlign w:val="top"/>
          </w:tcPr>
          <w:p w14:paraId="3DACBBB3">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4A77928B">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6A155C76">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4EF5221A">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户外招牌设施设置规范管理</w:t>
            </w:r>
          </w:p>
        </w:tc>
        <w:tc>
          <w:tcPr>
            <w:tcW w:w="2977" w:type="dxa"/>
            <w:noWrap w:val="0"/>
            <w:vAlign w:val="center"/>
          </w:tcPr>
          <w:p w14:paraId="44AD51A3">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住房</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城乡建设</w:t>
            </w:r>
            <w:r>
              <w:rPr>
                <w:rFonts w:hint="eastAsia" w:ascii="宋体" w:hAnsi="宋体" w:eastAsia="宋体" w:cs="宋体"/>
                <w:kern w:val="0"/>
                <w:sz w:val="21"/>
                <w:szCs w:val="21"/>
                <w:lang w:val="en-US" w:eastAsia="zh-CN"/>
              </w:rPr>
              <w:t>局</w:t>
            </w:r>
          </w:p>
        </w:tc>
      </w:tr>
      <w:tr w14:paraId="68E7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vMerge w:val="continue"/>
            <w:noWrap w:val="0"/>
            <w:vAlign w:val="top"/>
          </w:tcPr>
          <w:p w14:paraId="105787C9">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5ABD5938">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63FEA25C">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162BF09C">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公众聚集场所投入使用、营业前消防安全检查</w:t>
            </w:r>
          </w:p>
        </w:tc>
        <w:tc>
          <w:tcPr>
            <w:tcW w:w="2977" w:type="dxa"/>
            <w:noWrap w:val="0"/>
            <w:vAlign w:val="center"/>
          </w:tcPr>
          <w:p w14:paraId="7ADAFB67">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消防救援</w:t>
            </w:r>
            <w:r>
              <w:rPr>
                <w:rFonts w:hint="eastAsia" w:ascii="宋体" w:hAnsi="宋体" w:eastAsia="宋体" w:cs="宋体"/>
                <w:kern w:val="0"/>
                <w:sz w:val="21"/>
                <w:szCs w:val="21"/>
                <w:lang w:val="en-US" w:eastAsia="zh-CN"/>
              </w:rPr>
              <w:t>支</w:t>
            </w:r>
            <w:r>
              <w:rPr>
                <w:rFonts w:hint="eastAsia" w:ascii="宋体" w:hAnsi="宋体" w:eastAsia="宋体" w:cs="宋体"/>
                <w:kern w:val="0"/>
                <w:sz w:val="21"/>
                <w:szCs w:val="21"/>
              </w:rPr>
              <w:t>队</w:t>
            </w:r>
          </w:p>
        </w:tc>
      </w:tr>
      <w:tr w14:paraId="692A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restart"/>
            <w:noWrap w:val="0"/>
            <w:vAlign w:val="center"/>
          </w:tcPr>
          <w:p w14:paraId="71D743E5">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经</w:t>
            </w:r>
          </w:p>
          <w:p w14:paraId="3882D9B3">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营</w:t>
            </w:r>
          </w:p>
          <w:p w14:paraId="6B686C7E">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w:t>
            </w:r>
          </w:p>
          <w:p w14:paraId="59F6BDF4">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展</w:t>
            </w:r>
          </w:p>
        </w:tc>
        <w:tc>
          <w:tcPr>
            <w:tcW w:w="767" w:type="dxa"/>
            <w:vMerge w:val="restart"/>
            <w:noWrap w:val="0"/>
            <w:vAlign w:val="center"/>
          </w:tcPr>
          <w:p w14:paraId="7D3B438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50" w:type="dxa"/>
            <w:vMerge w:val="restart"/>
            <w:noWrap w:val="0"/>
            <w:vAlign w:val="center"/>
          </w:tcPr>
          <w:p w14:paraId="4A23490B">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水电气网</w:t>
            </w:r>
          </w:p>
          <w:p w14:paraId="3095D2EE">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联合报装</w:t>
            </w:r>
          </w:p>
          <w:p w14:paraId="4F39D70A">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“一件事”</w:t>
            </w:r>
          </w:p>
        </w:tc>
        <w:tc>
          <w:tcPr>
            <w:tcW w:w="3536" w:type="dxa"/>
            <w:noWrap w:val="0"/>
            <w:vAlign w:val="center"/>
          </w:tcPr>
          <w:p w14:paraId="2E68909C">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水电气网接入外线工程联合审批</w:t>
            </w:r>
          </w:p>
        </w:tc>
        <w:tc>
          <w:tcPr>
            <w:tcW w:w="2977" w:type="dxa"/>
            <w:noWrap w:val="0"/>
            <w:vAlign w:val="center"/>
          </w:tcPr>
          <w:p w14:paraId="41907F29">
            <w:pPr>
              <w:keepNext w:val="0"/>
              <w:pageBreakBefore w:val="0"/>
              <w:bidi w:val="0"/>
              <w:spacing w:line="44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地区</w:t>
            </w:r>
            <w:r>
              <w:rPr>
                <w:rFonts w:hint="eastAsia" w:ascii="宋体" w:hAnsi="宋体" w:eastAsia="宋体" w:cs="宋体"/>
                <w:color w:val="auto"/>
                <w:kern w:val="0"/>
                <w:sz w:val="21"/>
                <w:szCs w:val="21"/>
              </w:rPr>
              <w:t>住房</w:t>
            </w:r>
            <w:r>
              <w:rPr>
                <w:rFonts w:hint="eastAsia" w:ascii="宋体" w:hAnsi="宋体" w:eastAsia="宋体" w:cs="宋体"/>
                <w:color w:val="auto"/>
                <w:kern w:val="0"/>
                <w:sz w:val="21"/>
                <w:szCs w:val="21"/>
                <w:lang w:eastAsia="zh-CN"/>
              </w:rPr>
              <w:t>和</w:t>
            </w:r>
            <w:r>
              <w:rPr>
                <w:rFonts w:hint="eastAsia" w:ascii="宋体" w:hAnsi="宋体" w:eastAsia="宋体" w:cs="宋体"/>
                <w:color w:val="auto"/>
                <w:kern w:val="0"/>
                <w:sz w:val="21"/>
                <w:szCs w:val="21"/>
              </w:rPr>
              <w:t>城乡建设</w:t>
            </w:r>
            <w:r>
              <w:rPr>
                <w:rFonts w:hint="eastAsia" w:ascii="宋体" w:hAnsi="宋体" w:eastAsia="宋体" w:cs="宋体"/>
                <w:color w:val="auto"/>
                <w:kern w:val="0"/>
                <w:sz w:val="21"/>
                <w:szCs w:val="21"/>
                <w:lang w:val="en-US" w:eastAsia="zh-CN"/>
              </w:rPr>
              <w:t>局</w:t>
            </w:r>
          </w:p>
          <w:p w14:paraId="6F62D590">
            <w:pPr>
              <w:keepNext w:val="0"/>
              <w:pageBreakBefore w:val="0"/>
              <w:bidi w:val="0"/>
              <w:spacing w:line="440" w:lineRule="exact"/>
              <w:jc w:val="center"/>
              <w:rPr>
                <w:rFonts w:hint="eastAsia" w:ascii="宋体" w:hAnsi="宋体" w:eastAsia="宋体" w:cs="宋体"/>
                <w:color w:val="0000FF"/>
                <w:kern w:val="0"/>
                <w:sz w:val="21"/>
                <w:szCs w:val="21"/>
                <w:lang w:val="en-US"/>
              </w:rPr>
            </w:pPr>
            <w:r>
              <w:rPr>
                <w:rFonts w:hint="eastAsia" w:ascii="宋体" w:hAnsi="宋体" w:eastAsia="宋体" w:cs="宋体"/>
                <w:color w:val="auto"/>
                <w:kern w:val="0"/>
                <w:sz w:val="21"/>
                <w:szCs w:val="21"/>
                <w:lang w:val="en-US" w:eastAsia="zh-CN"/>
              </w:rPr>
              <w:t>地区</w:t>
            </w:r>
            <w:r>
              <w:rPr>
                <w:rFonts w:hint="eastAsia" w:ascii="宋体" w:hAnsi="宋体" w:eastAsia="宋体" w:cs="宋体"/>
                <w:color w:val="auto"/>
                <w:kern w:val="0"/>
                <w:sz w:val="21"/>
                <w:szCs w:val="21"/>
              </w:rPr>
              <w:t>自然资源</w:t>
            </w:r>
            <w:r>
              <w:rPr>
                <w:rFonts w:hint="eastAsia" w:ascii="宋体" w:hAnsi="宋体" w:eastAsia="宋体" w:cs="宋体"/>
                <w:color w:val="auto"/>
                <w:kern w:val="0"/>
                <w:sz w:val="21"/>
                <w:szCs w:val="21"/>
                <w:lang w:val="en-US" w:eastAsia="zh-CN"/>
              </w:rPr>
              <w:t>局</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地区</w:t>
            </w:r>
            <w:r>
              <w:rPr>
                <w:rFonts w:hint="eastAsia" w:ascii="宋体" w:hAnsi="宋体" w:eastAsia="宋体" w:cs="宋体"/>
                <w:color w:val="auto"/>
                <w:kern w:val="0"/>
                <w:sz w:val="21"/>
                <w:szCs w:val="21"/>
              </w:rPr>
              <w:t>交通运输</w:t>
            </w:r>
            <w:r>
              <w:rPr>
                <w:rFonts w:hint="eastAsia" w:ascii="宋体" w:hAnsi="宋体" w:eastAsia="宋体" w:cs="宋体"/>
                <w:color w:val="auto"/>
                <w:kern w:val="0"/>
                <w:sz w:val="21"/>
                <w:szCs w:val="21"/>
                <w:lang w:val="en-US" w:eastAsia="zh-CN"/>
              </w:rPr>
              <w:t>局</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地区</w:t>
            </w:r>
            <w:r>
              <w:rPr>
                <w:rFonts w:hint="eastAsia" w:ascii="宋体" w:hAnsi="宋体" w:eastAsia="宋体" w:cs="宋体"/>
                <w:color w:val="auto"/>
                <w:kern w:val="0"/>
                <w:sz w:val="21"/>
                <w:szCs w:val="21"/>
              </w:rPr>
              <w:t>通信管理</w:t>
            </w:r>
            <w:r>
              <w:rPr>
                <w:rFonts w:hint="eastAsia" w:ascii="宋体" w:hAnsi="宋体" w:eastAsia="宋体" w:cs="宋体"/>
                <w:color w:val="auto"/>
                <w:kern w:val="0"/>
                <w:sz w:val="21"/>
                <w:szCs w:val="21"/>
                <w:lang w:val="en-US" w:eastAsia="zh-CN"/>
              </w:rPr>
              <w:t>办公室</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国网大兴安岭供电公司</w:t>
            </w:r>
          </w:p>
        </w:tc>
      </w:tr>
      <w:tr w14:paraId="3414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continue"/>
            <w:noWrap w:val="0"/>
            <w:vAlign w:val="top"/>
          </w:tcPr>
          <w:p w14:paraId="45FFED51">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2B3E5904">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621AC9C0">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194B9AA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供电报装</w:t>
            </w:r>
          </w:p>
        </w:tc>
        <w:tc>
          <w:tcPr>
            <w:tcW w:w="2977" w:type="dxa"/>
            <w:noWrap w:val="0"/>
            <w:vAlign w:val="center"/>
          </w:tcPr>
          <w:p w14:paraId="331E41CA">
            <w:pPr>
              <w:keepNext w:val="0"/>
              <w:pageBreakBefore w:val="0"/>
              <w:bidi w:val="0"/>
              <w:spacing w:line="440" w:lineRule="exact"/>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auto"/>
                <w:kern w:val="0"/>
                <w:sz w:val="21"/>
                <w:szCs w:val="21"/>
                <w:lang w:val="en-US" w:eastAsia="zh-CN"/>
              </w:rPr>
              <w:t>国网大兴安岭供电公司</w:t>
            </w:r>
          </w:p>
        </w:tc>
      </w:tr>
      <w:tr w14:paraId="6349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continue"/>
            <w:noWrap w:val="0"/>
            <w:vAlign w:val="top"/>
          </w:tcPr>
          <w:p w14:paraId="2B5840D8">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09CBC1B5">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EABE1BB">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622B97BE">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燃气报装</w:t>
            </w:r>
          </w:p>
        </w:tc>
        <w:tc>
          <w:tcPr>
            <w:tcW w:w="2977" w:type="dxa"/>
            <w:noWrap w:val="0"/>
            <w:vAlign w:val="center"/>
          </w:tcPr>
          <w:p w14:paraId="4E133221">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住房</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城乡建设</w:t>
            </w:r>
            <w:r>
              <w:rPr>
                <w:rFonts w:hint="eastAsia" w:ascii="宋体" w:hAnsi="宋体" w:eastAsia="宋体" w:cs="宋体"/>
                <w:kern w:val="0"/>
                <w:sz w:val="21"/>
                <w:szCs w:val="21"/>
                <w:lang w:val="en-US" w:eastAsia="zh-CN"/>
              </w:rPr>
              <w:t>局</w:t>
            </w:r>
            <w:r>
              <w:rPr>
                <w:rFonts w:hint="eastAsia" w:ascii="宋体" w:hAnsi="宋体" w:eastAsia="宋体" w:cs="宋体"/>
                <w:kern w:val="0"/>
                <w:sz w:val="21"/>
                <w:szCs w:val="21"/>
              </w:rPr>
              <w:t>及供气企业</w:t>
            </w:r>
          </w:p>
        </w:tc>
      </w:tr>
      <w:tr w14:paraId="06B2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continue"/>
            <w:noWrap w:val="0"/>
            <w:vAlign w:val="top"/>
          </w:tcPr>
          <w:p w14:paraId="78E0A267">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0B072115">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7522DD2">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759109E7">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供排水报装</w:t>
            </w:r>
          </w:p>
        </w:tc>
        <w:tc>
          <w:tcPr>
            <w:tcW w:w="2977" w:type="dxa"/>
            <w:noWrap w:val="0"/>
            <w:vAlign w:val="center"/>
          </w:tcPr>
          <w:p w14:paraId="5F198801">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住房</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城乡建设</w:t>
            </w:r>
            <w:r>
              <w:rPr>
                <w:rFonts w:hint="eastAsia" w:ascii="宋体" w:hAnsi="宋体" w:eastAsia="宋体" w:cs="宋体"/>
                <w:kern w:val="0"/>
                <w:sz w:val="21"/>
                <w:szCs w:val="21"/>
                <w:lang w:val="en-US" w:eastAsia="zh-CN"/>
              </w:rPr>
              <w:t>局</w:t>
            </w:r>
            <w:r>
              <w:rPr>
                <w:rFonts w:hint="eastAsia" w:ascii="宋体" w:hAnsi="宋体" w:eastAsia="宋体" w:cs="宋体"/>
                <w:kern w:val="0"/>
                <w:sz w:val="21"/>
                <w:szCs w:val="21"/>
              </w:rPr>
              <w:t>及供水企业</w:t>
            </w:r>
          </w:p>
        </w:tc>
      </w:tr>
      <w:tr w14:paraId="4833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continue"/>
            <w:noWrap w:val="0"/>
            <w:vAlign w:val="top"/>
          </w:tcPr>
          <w:p w14:paraId="0A9D61BA">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14A8E417">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5DD287EF">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6347879F">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通信报装</w:t>
            </w:r>
          </w:p>
        </w:tc>
        <w:tc>
          <w:tcPr>
            <w:tcW w:w="2977" w:type="dxa"/>
            <w:noWrap w:val="0"/>
            <w:vAlign w:val="center"/>
          </w:tcPr>
          <w:p w14:paraId="4A1DEF3D">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通信管理</w:t>
            </w:r>
            <w:r>
              <w:rPr>
                <w:rFonts w:hint="eastAsia" w:ascii="宋体" w:hAnsi="宋体" w:eastAsia="宋体" w:cs="宋体"/>
                <w:kern w:val="0"/>
                <w:sz w:val="21"/>
                <w:szCs w:val="21"/>
                <w:lang w:val="en-US" w:eastAsia="zh-CN"/>
              </w:rPr>
              <w:t>办公室</w:t>
            </w:r>
            <w:r>
              <w:rPr>
                <w:rFonts w:hint="eastAsia" w:ascii="宋体" w:hAnsi="宋体" w:eastAsia="宋体" w:cs="宋体"/>
                <w:kern w:val="0"/>
                <w:sz w:val="21"/>
                <w:szCs w:val="21"/>
              </w:rPr>
              <w:t>及网络运营商</w:t>
            </w:r>
          </w:p>
        </w:tc>
      </w:tr>
      <w:tr w14:paraId="19FF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39" w:type="dxa"/>
            <w:vMerge w:val="continue"/>
            <w:noWrap w:val="0"/>
            <w:vAlign w:val="top"/>
          </w:tcPr>
          <w:p w14:paraId="75D17E85">
            <w:pPr>
              <w:keepNext w:val="0"/>
              <w:pageBreakBefore w:val="0"/>
              <w:bidi w:val="0"/>
              <w:spacing w:line="440" w:lineRule="exact"/>
              <w:jc w:val="center"/>
              <w:rPr>
                <w:rFonts w:hint="eastAsia" w:ascii="宋体" w:hAnsi="宋体" w:eastAsia="宋体" w:cs="宋体"/>
                <w:kern w:val="0"/>
                <w:sz w:val="21"/>
                <w:szCs w:val="21"/>
              </w:rPr>
            </w:pPr>
          </w:p>
        </w:tc>
        <w:tc>
          <w:tcPr>
            <w:tcW w:w="767" w:type="dxa"/>
            <w:vMerge w:val="restart"/>
            <w:noWrap w:val="0"/>
            <w:vAlign w:val="center"/>
          </w:tcPr>
          <w:p w14:paraId="73218C1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50" w:type="dxa"/>
            <w:vMerge w:val="restart"/>
            <w:noWrap w:val="0"/>
            <w:vAlign w:val="center"/>
          </w:tcPr>
          <w:p w14:paraId="2D423CAE">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信用修复</w:t>
            </w:r>
          </w:p>
          <w:p w14:paraId="787CE17A">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“一件事”</w:t>
            </w:r>
          </w:p>
        </w:tc>
        <w:tc>
          <w:tcPr>
            <w:tcW w:w="3536" w:type="dxa"/>
            <w:noWrap w:val="0"/>
            <w:vAlign w:val="center"/>
          </w:tcPr>
          <w:p w14:paraId="72306056">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统筹在“信用中国”网站及地方信用平台网站建立相关失信信息信用修复指引</w:t>
            </w:r>
          </w:p>
        </w:tc>
        <w:tc>
          <w:tcPr>
            <w:tcW w:w="2977" w:type="dxa"/>
            <w:noWrap w:val="0"/>
            <w:vAlign w:val="center"/>
          </w:tcPr>
          <w:p w14:paraId="45C191A0">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营商环境局</w:t>
            </w:r>
          </w:p>
        </w:tc>
      </w:tr>
      <w:tr w14:paraId="289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vMerge w:val="continue"/>
            <w:noWrap w:val="0"/>
            <w:vAlign w:val="top"/>
          </w:tcPr>
          <w:p w14:paraId="5E363A7E">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523017DC">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6336CB24">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7FC87F2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行政处罚信息修复</w:t>
            </w:r>
          </w:p>
        </w:tc>
        <w:tc>
          <w:tcPr>
            <w:tcW w:w="2977" w:type="dxa"/>
            <w:noWrap w:val="0"/>
            <w:vAlign w:val="center"/>
          </w:tcPr>
          <w:p w14:paraId="6A65130C">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营商环境局、</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市场监管局等部门</w:t>
            </w:r>
          </w:p>
        </w:tc>
      </w:tr>
      <w:tr w14:paraId="1ACA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top"/>
          </w:tcPr>
          <w:p w14:paraId="1D1AB134">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14CC0C49">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2F27632">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53E58711">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异常经营名录信息修复</w:t>
            </w:r>
          </w:p>
        </w:tc>
        <w:tc>
          <w:tcPr>
            <w:tcW w:w="2977" w:type="dxa"/>
            <w:noWrap w:val="0"/>
            <w:vAlign w:val="center"/>
          </w:tcPr>
          <w:p w14:paraId="1EA06737">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市场监管局</w:t>
            </w:r>
          </w:p>
        </w:tc>
      </w:tr>
      <w:tr w14:paraId="5E7D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noWrap w:val="0"/>
            <w:vAlign w:val="top"/>
          </w:tcPr>
          <w:p w14:paraId="6C529715">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0CEC47DF">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AA7D565">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0C7800A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严重失信主体名单信息修复</w:t>
            </w:r>
          </w:p>
        </w:tc>
        <w:tc>
          <w:tcPr>
            <w:tcW w:w="2977" w:type="dxa"/>
            <w:noWrap w:val="0"/>
            <w:vAlign w:val="center"/>
          </w:tcPr>
          <w:p w14:paraId="2959C394">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设列严重失信主体名单的有关部门</w:t>
            </w:r>
          </w:p>
        </w:tc>
      </w:tr>
      <w:tr w14:paraId="0260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9" w:type="dxa"/>
            <w:vMerge w:val="restart"/>
            <w:noWrap w:val="0"/>
            <w:vAlign w:val="center"/>
          </w:tcPr>
          <w:p w14:paraId="2D34B58D">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经</w:t>
            </w:r>
          </w:p>
          <w:p w14:paraId="7F643D93">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营</w:t>
            </w:r>
          </w:p>
          <w:p w14:paraId="4C52DC09">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w:t>
            </w:r>
          </w:p>
          <w:p w14:paraId="5224A01F">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展</w:t>
            </w:r>
          </w:p>
        </w:tc>
        <w:tc>
          <w:tcPr>
            <w:tcW w:w="767" w:type="dxa"/>
            <w:vMerge w:val="restart"/>
            <w:noWrap w:val="0"/>
            <w:vAlign w:val="center"/>
          </w:tcPr>
          <w:p w14:paraId="5E2A9B9F">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50" w:type="dxa"/>
            <w:vMerge w:val="restart"/>
            <w:noWrap w:val="0"/>
            <w:vAlign w:val="center"/>
          </w:tcPr>
          <w:p w14:paraId="20B08A9B">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企业上市</w:t>
            </w:r>
          </w:p>
          <w:p w14:paraId="6F537C3B">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合法合规</w:t>
            </w:r>
          </w:p>
          <w:p w14:paraId="15875C53">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信息核查</w:t>
            </w:r>
          </w:p>
          <w:p w14:paraId="5953EF16">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“一件事”</w:t>
            </w:r>
          </w:p>
        </w:tc>
        <w:tc>
          <w:tcPr>
            <w:tcW w:w="3536" w:type="dxa"/>
            <w:noWrap w:val="0"/>
            <w:vAlign w:val="center"/>
          </w:tcPr>
          <w:p w14:paraId="352B7748">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统筹相关申请核查信息的受理、分派、汇总和结果送达</w:t>
            </w:r>
          </w:p>
        </w:tc>
        <w:tc>
          <w:tcPr>
            <w:tcW w:w="2977" w:type="dxa"/>
            <w:noWrap w:val="0"/>
            <w:vAlign w:val="center"/>
          </w:tcPr>
          <w:p w14:paraId="12DFA5A7">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营商环境局</w:t>
            </w:r>
          </w:p>
        </w:tc>
      </w:tr>
      <w:tr w14:paraId="7808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9" w:type="dxa"/>
            <w:vMerge w:val="continue"/>
            <w:noWrap w:val="0"/>
            <w:vAlign w:val="top"/>
          </w:tcPr>
          <w:p w14:paraId="14D4923B">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4BE19EA2">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652365BE">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35E59C3F">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企业城市管理领域无违法违规信息核查</w:t>
            </w:r>
          </w:p>
        </w:tc>
        <w:tc>
          <w:tcPr>
            <w:tcW w:w="2977" w:type="dxa"/>
            <w:noWrap w:val="0"/>
            <w:vAlign w:val="center"/>
          </w:tcPr>
          <w:p w14:paraId="6184960E">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住房</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城乡建设</w:t>
            </w:r>
            <w:r>
              <w:rPr>
                <w:rFonts w:hint="eastAsia" w:ascii="宋体" w:hAnsi="宋体" w:eastAsia="宋体" w:cs="宋体"/>
                <w:kern w:val="0"/>
                <w:sz w:val="21"/>
                <w:szCs w:val="21"/>
                <w:lang w:val="en-US" w:eastAsia="zh-CN"/>
              </w:rPr>
              <w:t>局</w:t>
            </w:r>
          </w:p>
        </w:tc>
      </w:tr>
      <w:tr w14:paraId="1E77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9" w:type="dxa"/>
            <w:vMerge w:val="continue"/>
            <w:noWrap w:val="0"/>
            <w:vAlign w:val="top"/>
          </w:tcPr>
          <w:p w14:paraId="4C97FEA8">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E5C3257">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127ECE2">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2B492457">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企业规划自然 资源领域无违法违规信息核查</w:t>
            </w:r>
          </w:p>
        </w:tc>
        <w:tc>
          <w:tcPr>
            <w:tcW w:w="2977" w:type="dxa"/>
            <w:noWrap w:val="0"/>
            <w:vAlign w:val="center"/>
          </w:tcPr>
          <w:p w14:paraId="3B74C875">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自然资源</w:t>
            </w:r>
            <w:r>
              <w:rPr>
                <w:rFonts w:hint="eastAsia" w:ascii="宋体" w:hAnsi="宋体" w:eastAsia="宋体" w:cs="宋体"/>
                <w:kern w:val="0"/>
                <w:sz w:val="21"/>
                <w:szCs w:val="21"/>
                <w:lang w:val="en-US" w:eastAsia="zh-CN"/>
              </w:rPr>
              <w:t>局</w:t>
            </w:r>
          </w:p>
        </w:tc>
      </w:tr>
      <w:tr w14:paraId="2614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9" w:type="dxa"/>
            <w:vMerge w:val="continue"/>
            <w:noWrap w:val="0"/>
            <w:vAlign w:val="top"/>
          </w:tcPr>
          <w:p w14:paraId="3291E365">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1181BE9E">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3CADCD83">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4E42B545">
            <w:pPr>
              <w:keepNext w:val="0"/>
              <w:pageBreakBefore w:val="0"/>
              <w:bidi w:val="0"/>
              <w:spacing w:line="440" w:lineRule="exact"/>
              <w:rPr>
                <w:rFonts w:hint="eastAsia" w:ascii="宋体" w:hAnsi="宋体" w:eastAsia="宋体" w:cs="宋体"/>
                <w:spacing w:val="10"/>
                <w:kern w:val="0"/>
                <w:sz w:val="21"/>
                <w:szCs w:val="21"/>
              </w:rPr>
            </w:pPr>
            <w:r>
              <w:rPr>
                <w:rFonts w:hint="eastAsia" w:ascii="宋体" w:hAnsi="宋体" w:eastAsia="宋体" w:cs="宋体"/>
                <w:spacing w:val="10"/>
                <w:kern w:val="0"/>
                <w:sz w:val="21"/>
                <w:szCs w:val="21"/>
              </w:rPr>
              <w:t>企业违反劳动保障法律法规信息核查</w:t>
            </w:r>
          </w:p>
        </w:tc>
        <w:tc>
          <w:tcPr>
            <w:tcW w:w="2977" w:type="dxa"/>
            <w:noWrap w:val="0"/>
            <w:vAlign w:val="center"/>
          </w:tcPr>
          <w:p w14:paraId="49B9731B">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p>
        </w:tc>
      </w:tr>
      <w:tr w14:paraId="0F5F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9" w:type="dxa"/>
            <w:vMerge w:val="continue"/>
            <w:noWrap w:val="0"/>
            <w:vAlign w:val="top"/>
          </w:tcPr>
          <w:p w14:paraId="01B250D4">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21FDE0A9">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B8A2129">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0D5ACB9A">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企业生态环境保护领域无违法违规信息核查</w:t>
            </w:r>
          </w:p>
        </w:tc>
        <w:tc>
          <w:tcPr>
            <w:tcW w:w="2977" w:type="dxa"/>
            <w:noWrap w:val="0"/>
            <w:vAlign w:val="center"/>
          </w:tcPr>
          <w:p w14:paraId="18DFB19C">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生态环境</w:t>
            </w:r>
            <w:r>
              <w:rPr>
                <w:rFonts w:hint="eastAsia" w:ascii="宋体" w:hAnsi="宋体" w:eastAsia="宋体" w:cs="宋体"/>
                <w:kern w:val="0"/>
                <w:sz w:val="21"/>
                <w:szCs w:val="21"/>
                <w:lang w:val="en-US" w:eastAsia="zh-CN"/>
              </w:rPr>
              <w:t>局</w:t>
            </w:r>
          </w:p>
        </w:tc>
      </w:tr>
      <w:tr w14:paraId="74D8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9" w:type="dxa"/>
            <w:vMerge w:val="continue"/>
            <w:noWrap w:val="0"/>
            <w:vAlign w:val="top"/>
          </w:tcPr>
          <w:p w14:paraId="1EAE31AA">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B3F9BD4">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638D4EC4">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4B863474">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企业市场监管领域无违法违规信息核查</w:t>
            </w:r>
          </w:p>
        </w:tc>
        <w:tc>
          <w:tcPr>
            <w:tcW w:w="2977" w:type="dxa"/>
            <w:noWrap w:val="0"/>
            <w:vAlign w:val="center"/>
          </w:tcPr>
          <w:p w14:paraId="538A2975">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市场监管局</w:t>
            </w:r>
          </w:p>
        </w:tc>
      </w:tr>
      <w:tr w14:paraId="12CF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9" w:type="dxa"/>
            <w:vMerge w:val="continue"/>
            <w:noWrap w:val="0"/>
            <w:vAlign w:val="top"/>
          </w:tcPr>
          <w:p w14:paraId="717AE291">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18533B31">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1A3546AB">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062F3A93">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企业卫生和人员健康领域无违法违规信息核查</w:t>
            </w:r>
          </w:p>
        </w:tc>
        <w:tc>
          <w:tcPr>
            <w:tcW w:w="2977" w:type="dxa"/>
            <w:noWrap w:val="0"/>
            <w:vAlign w:val="center"/>
          </w:tcPr>
          <w:p w14:paraId="660DA999">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卫生健康委</w:t>
            </w:r>
          </w:p>
        </w:tc>
      </w:tr>
      <w:tr w14:paraId="3DC7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9" w:type="dxa"/>
            <w:vMerge w:val="continue"/>
            <w:noWrap w:val="0"/>
            <w:vAlign w:val="top"/>
          </w:tcPr>
          <w:p w14:paraId="18CE023C">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2492A7F9">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73F6E01B">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77F6B983">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企业文化和旅游市场领域无违法违规信息核查</w:t>
            </w:r>
          </w:p>
        </w:tc>
        <w:tc>
          <w:tcPr>
            <w:tcW w:w="2977" w:type="dxa"/>
            <w:noWrap w:val="0"/>
            <w:vAlign w:val="center"/>
          </w:tcPr>
          <w:p w14:paraId="0D305BA2">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地区文体广电</w:t>
            </w:r>
            <w:r>
              <w:rPr>
                <w:rFonts w:hint="eastAsia" w:ascii="宋体" w:hAnsi="宋体" w:eastAsia="宋体" w:cs="宋体"/>
                <w:kern w:val="0"/>
                <w:sz w:val="21"/>
                <w:szCs w:val="21"/>
              </w:rPr>
              <w:t>和旅游</w:t>
            </w:r>
            <w:r>
              <w:rPr>
                <w:rFonts w:hint="eastAsia" w:ascii="宋体" w:hAnsi="宋体" w:eastAsia="宋体" w:cs="宋体"/>
                <w:kern w:val="0"/>
                <w:sz w:val="21"/>
                <w:szCs w:val="21"/>
                <w:lang w:val="en-US" w:eastAsia="zh-CN"/>
              </w:rPr>
              <w:t>局</w:t>
            </w:r>
          </w:p>
        </w:tc>
      </w:tr>
      <w:tr w14:paraId="079F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9" w:type="dxa"/>
            <w:vMerge w:val="continue"/>
            <w:noWrap w:val="0"/>
            <w:vAlign w:val="top"/>
          </w:tcPr>
          <w:p w14:paraId="2E47C2E2">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D4F826C">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5BB3CD66">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5AA0349B">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企业应急管理领域无违法违规信息核查</w:t>
            </w:r>
          </w:p>
        </w:tc>
        <w:tc>
          <w:tcPr>
            <w:tcW w:w="2977" w:type="dxa"/>
            <w:noWrap w:val="0"/>
            <w:vAlign w:val="center"/>
          </w:tcPr>
          <w:p w14:paraId="569591B8">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应急管理</w:t>
            </w:r>
            <w:r>
              <w:rPr>
                <w:rFonts w:hint="eastAsia" w:ascii="宋体" w:hAnsi="宋体" w:eastAsia="宋体" w:cs="宋体"/>
                <w:kern w:val="0"/>
                <w:sz w:val="21"/>
                <w:szCs w:val="21"/>
                <w:lang w:val="en-US" w:eastAsia="zh-CN"/>
              </w:rPr>
              <w:t>局</w:t>
            </w:r>
          </w:p>
        </w:tc>
      </w:tr>
      <w:tr w14:paraId="7DB3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9" w:type="dxa"/>
            <w:vMerge w:val="continue"/>
            <w:noWrap w:val="0"/>
            <w:vAlign w:val="top"/>
          </w:tcPr>
          <w:p w14:paraId="01B5D58E">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4D6B102">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73579D23">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2236C592">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企业住房、工程建设领域无违法违规信息核查</w:t>
            </w:r>
          </w:p>
        </w:tc>
        <w:tc>
          <w:tcPr>
            <w:tcW w:w="2977" w:type="dxa"/>
            <w:noWrap w:val="0"/>
            <w:vAlign w:val="center"/>
          </w:tcPr>
          <w:p w14:paraId="7EC54E6E">
            <w:pPr>
              <w:keepNext w:val="0"/>
              <w:pageBreakBefore w:val="0"/>
              <w:bidi w:val="0"/>
              <w:spacing w:line="440" w:lineRule="exact"/>
              <w:jc w:val="center"/>
              <w:rPr>
                <w:rFonts w:hint="eastAsia" w:ascii="宋体" w:hAnsi="宋体" w:eastAsia="宋体" w:cs="宋体"/>
                <w:kern w:val="0"/>
                <w:sz w:val="21"/>
                <w:szCs w:val="21"/>
                <w:lang w:val="en-US" w:eastAsia="zh-CN"/>
              </w:rPr>
            </w:pPr>
          </w:p>
          <w:p w14:paraId="76A91C3C">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住房</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城乡建设</w:t>
            </w:r>
            <w:r>
              <w:rPr>
                <w:rFonts w:hint="eastAsia" w:ascii="宋体" w:hAnsi="宋体" w:eastAsia="宋体" w:cs="宋体"/>
                <w:kern w:val="0"/>
                <w:sz w:val="21"/>
                <w:szCs w:val="21"/>
                <w:lang w:val="en-US" w:eastAsia="zh-CN"/>
              </w:rPr>
              <w:t>局</w:t>
            </w:r>
          </w:p>
          <w:p w14:paraId="13226A79">
            <w:pPr>
              <w:keepNext w:val="0"/>
              <w:pageBreakBefore w:val="0"/>
              <w:bidi w:val="0"/>
              <w:spacing w:line="440" w:lineRule="exact"/>
              <w:jc w:val="both"/>
              <w:rPr>
                <w:rFonts w:hint="eastAsia" w:ascii="宋体" w:hAnsi="宋体" w:eastAsia="宋体" w:cs="宋体"/>
                <w:kern w:val="0"/>
                <w:sz w:val="21"/>
                <w:szCs w:val="21"/>
                <w:lang w:val="en-US" w:eastAsia="zh-CN"/>
              </w:rPr>
            </w:pPr>
          </w:p>
        </w:tc>
      </w:tr>
      <w:tr w14:paraId="3F28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Merge w:val="continue"/>
            <w:noWrap w:val="0"/>
            <w:vAlign w:val="top"/>
          </w:tcPr>
          <w:p w14:paraId="37810826">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29250E9">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6CF1DC4C">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7DC0F5AC">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企业人员住房公积金缴存信息核查</w:t>
            </w:r>
          </w:p>
        </w:tc>
        <w:tc>
          <w:tcPr>
            <w:tcW w:w="2977" w:type="dxa"/>
            <w:noWrap w:val="0"/>
            <w:vAlign w:val="center"/>
          </w:tcPr>
          <w:p w14:paraId="77624D60">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地区住房公积金管理中心</w:t>
            </w:r>
          </w:p>
        </w:tc>
      </w:tr>
      <w:tr w14:paraId="01E1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Merge w:val="continue"/>
            <w:noWrap w:val="0"/>
            <w:vAlign w:val="top"/>
          </w:tcPr>
          <w:p w14:paraId="5946D336">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1B877F17">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2A897B12">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6506DBF4">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企业科技领域无违法违规信息核查</w:t>
            </w:r>
          </w:p>
        </w:tc>
        <w:tc>
          <w:tcPr>
            <w:tcW w:w="2977" w:type="dxa"/>
            <w:noWrap w:val="0"/>
            <w:vAlign w:val="center"/>
          </w:tcPr>
          <w:p w14:paraId="21A48E5A">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科技</w:t>
            </w:r>
            <w:r>
              <w:rPr>
                <w:rFonts w:hint="eastAsia" w:ascii="宋体" w:hAnsi="宋体" w:eastAsia="宋体" w:cs="宋体"/>
                <w:kern w:val="0"/>
                <w:sz w:val="21"/>
                <w:szCs w:val="21"/>
                <w:lang w:val="en-US" w:eastAsia="zh-CN"/>
              </w:rPr>
              <w:t>局</w:t>
            </w:r>
          </w:p>
        </w:tc>
      </w:tr>
      <w:tr w14:paraId="721E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Merge w:val="continue"/>
            <w:noWrap w:val="0"/>
            <w:vAlign w:val="top"/>
          </w:tcPr>
          <w:p w14:paraId="504411D6">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5BA2C412">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B9BA99A">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34519D21">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企业交通运输领域无违法违规信息核查</w:t>
            </w:r>
          </w:p>
        </w:tc>
        <w:tc>
          <w:tcPr>
            <w:tcW w:w="2977" w:type="dxa"/>
            <w:noWrap w:val="0"/>
            <w:vAlign w:val="center"/>
          </w:tcPr>
          <w:p w14:paraId="2AD28470">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交通运输</w:t>
            </w:r>
            <w:r>
              <w:rPr>
                <w:rFonts w:hint="eastAsia" w:ascii="宋体" w:hAnsi="宋体" w:eastAsia="宋体" w:cs="宋体"/>
                <w:kern w:val="0"/>
                <w:sz w:val="21"/>
                <w:szCs w:val="21"/>
                <w:lang w:val="en-US" w:eastAsia="zh-CN"/>
              </w:rPr>
              <w:t>局</w:t>
            </w:r>
          </w:p>
        </w:tc>
      </w:tr>
      <w:tr w14:paraId="1418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Merge w:val="continue"/>
            <w:noWrap w:val="0"/>
            <w:vAlign w:val="top"/>
          </w:tcPr>
          <w:p w14:paraId="68652AD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4DB7BC10">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118BDC1B">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347927D7">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企业合法纳税情况无违法违规信息核查</w:t>
            </w:r>
          </w:p>
        </w:tc>
        <w:tc>
          <w:tcPr>
            <w:tcW w:w="2977" w:type="dxa"/>
            <w:noWrap w:val="0"/>
            <w:vAlign w:val="center"/>
          </w:tcPr>
          <w:p w14:paraId="7CF2F0D2">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税务局</w:t>
            </w:r>
          </w:p>
        </w:tc>
      </w:tr>
      <w:tr w14:paraId="040F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Merge w:val="continue"/>
            <w:noWrap w:val="0"/>
            <w:vAlign w:val="top"/>
          </w:tcPr>
          <w:p w14:paraId="1B1883CA">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7F903126">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4510BBCD">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7B33C07B">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企业知识产权领域无违法违规信息核查</w:t>
            </w:r>
          </w:p>
        </w:tc>
        <w:tc>
          <w:tcPr>
            <w:tcW w:w="2977" w:type="dxa"/>
            <w:noWrap w:val="0"/>
            <w:vAlign w:val="center"/>
          </w:tcPr>
          <w:p w14:paraId="1F241D72">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市场监管局</w:t>
            </w:r>
          </w:p>
        </w:tc>
      </w:tr>
      <w:tr w14:paraId="67C5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9" w:type="dxa"/>
            <w:vMerge w:val="continue"/>
            <w:noWrap w:val="0"/>
            <w:vAlign w:val="top"/>
          </w:tcPr>
          <w:p w14:paraId="088ECB97">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14A58634">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6F962692">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60202C49">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企业水资源保护领域无违法违规信息核查</w:t>
            </w:r>
          </w:p>
        </w:tc>
        <w:tc>
          <w:tcPr>
            <w:tcW w:w="2977" w:type="dxa"/>
            <w:noWrap w:val="0"/>
            <w:vAlign w:val="center"/>
          </w:tcPr>
          <w:p w14:paraId="535D2B17">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水</w:t>
            </w:r>
            <w:r>
              <w:rPr>
                <w:rFonts w:hint="eastAsia" w:ascii="宋体" w:hAnsi="宋体" w:eastAsia="宋体" w:cs="宋体"/>
                <w:kern w:val="0"/>
                <w:sz w:val="21"/>
                <w:szCs w:val="21"/>
                <w:lang w:val="en-US" w:eastAsia="zh-CN"/>
              </w:rPr>
              <w:t>务局</w:t>
            </w:r>
          </w:p>
        </w:tc>
      </w:tr>
      <w:tr w14:paraId="10EB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9" w:type="dxa"/>
            <w:vMerge w:val="continue"/>
            <w:noWrap w:val="0"/>
            <w:vAlign w:val="top"/>
          </w:tcPr>
          <w:p w14:paraId="1C05EFAC">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74F899B4">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371D7ACD">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13EBC391">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企业消防安全无违法违规信息核查</w:t>
            </w:r>
          </w:p>
        </w:tc>
        <w:tc>
          <w:tcPr>
            <w:tcW w:w="2977" w:type="dxa"/>
            <w:noWrap w:val="0"/>
            <w:vAlign w:val="center"/>
          </w:tcPr>
          <w:p w14:paraId="04AD05FC">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消防救援</w:t>
            </w:r>
            <w:r>
              <w:rPr>
                <w:rFonts w:hint="eastAsia" w:ascii="宋体" w:hAnsi="宋体" w:eastAsia="宋体" w:cs="宋体"/>
                <w:kern w:val="0"/>
                <w:sz w:val="21"/>
                <w:szCs w:val="21"/>
                <w:lang w:val="en-US" w:eastAsia="zh-CN"/>
              </w:rPr>
              <w:t>支</w:t>
            </w:r>
            <w:r>
              <w:rPr>
                <w:rFonts w:hint="eastAsia" w:ascii="宋体" w:hAnsi="宋体" w:eastAsia="宋体" w:cs="宋体"/>
                <w:kern w:val="0"/>
                <w:sz w:val="21"/>
                <w:szCs w:val="21"/>
              </w:rPr>
              <w:t>队</w:t>
            </w:r>
          </w:p>
        </w:tc>
      </w:tr>
      <w:tr w14:paraId="215C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9" w:type="dxa"/>
            <w:vMerge w:val="continue"/>
            <w:noWrap w:val="0"/>
            <w:vAlign w:val="top"/>
          </w:tcPr>
          <w:p w14:paraId="03201D98">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012BA8BA">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372C1CAE">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43188BC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电信监管领域无行政处罚信息核查</w:t>
            </w:r>
          </w:p>
        </w:tc>
        <w:tc>
          <w:tcPr>
            <w:tcW w:w="2977" w:type="dxa"/>
            <w:noWrap w:val="0"/>
            <w:vAlign w:val="center"/>
          </w:tcPr>
          <w:p w14:paraId="350C4A2F">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通信管理</w:t>
            </w:r>
            <w:r>
              <w:rPr>
                <w:rFonts w:hint="eastAsia" w:ascii="宋体" w:hAnsi="宋体" w:eastAsia="宋体" w:cs="宋体"/>
                <w:kern w:val="0"/>
                <w:sz w:val="21"/>
                <w:szCs w:val="21"/>
                <w:lang w:val="en-US" w:eastAsia="zh-CN"/>
              </w:rPr>
              <w:t>办公室</w:t>
            </w:r>
          </w:p>
        </w:tc>
      </w:tr>
      <w:tr w14:paraId="288DE1B2">
        <w:tblPrEx>
          <w:tblCellMar>
            <w:top w:w="0" w:type="dxa"/>
            <w:left w:w="108" w:type="dxa"/>
            <w:bottom w:w="0" w:type="dxa"/>
            <w:right w:w="108" w:type="dxa"/>
          </w:tblCellMar>
        </w:tblPrEx>
        <w:trPr>
          <w:trHeight w:val="680" w:hRule="atLeast"/>
          <w:jc w:val="center"/>
        </w:trPr>
        <w:tc>
          <w:tcPr>
            <w:tcW w:w="739" w:type="dxa"/>
            <w:vMerge w:val="restart"/>
            <w:noWrap w:val="0"/>
            <w:vAlign w:val="center"/>
          </w:tcPr>
          <w:p w14:paraId="0038BAF5">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注</w:t>
            </w:r>
          </w:p>
          <w:p w14:paraId="62FF494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销</w:t>
            </w:r>
          </w:p>
          <w:p w14:paraId="21EF9651">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退</w:t>
            </w:r>
          </w:p>
          <w:p w14:paraId="1807FD59">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出</w:t>
            </w:r>
          </w:p>
        </w:tc>
        <w:tc>
          <w:tcPr>
            <w:tcW w:w="767" w:type="dxa"/>
            <w:vMerge w:val="restart"/>
            <w:noWrap w:val="0"/>
            <w:vAlign w:val="center"/>
          </w:tcPr>
          <w:p w14:paraId="50537FED">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50" w:type="dxa"/>
            <w:vMerge w:val="restart"/>
            <w:noWrap w:val="0"/>
            <w:vAlign w:val="center"/>
          </w:tcPr>
          <w:p w14:paraId="68571B2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企业破产</w:t>
            </w:r>
          </w:p>
          <w:p w14:paraId="28F75CB0">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信息核查</w:t>
            </w:r>
          </w:p>
          <w:p w14:paraId="53A9627E">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“一件事”</w:t>
            </w:r>
          </w:p>
        </w:tc>
        <w:tc>
          <w:tcPr>
            <w:tcW w:w="3536" w:type="dxa"/>
            <w:noWrap w:val="0"/>
            <w:vAlign w:val="center"/>
          </w:tcPr>
          <w:p w14:paraId="4E43DF87">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统筹相关申请核查信息的受理、分派、汇总和结果送达</w:t>
            </w:r>
          </w:p>
        </w:tc>
        <w:tc>
          <w:tcPr>
            <w:tcW w:w="2977" w:type="dxa"/>
            <w:noWrap w:val="0"/>
            <w:vAlign w:val="center"/>
          </w:tcPr>
          <w:p w14:paraId="2FAA4E67">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营商环境局</w:t>
            </w:r>
          </w:p>
        </w:tc>
      </w:tr>
      <w:tr w14:paraId="7823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766765AE">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7CE7444A">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5F61A1D8">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7DDC3F0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企业车辆信息核查</w:t>
            </w:r>
          </w:p>
        </w:tc>
        <w:tc>
          <w:tcPr>
            <w:tcW w:w="2977" w:type="dxa"/>
            <w:noWrap w:val="0"/>
            <w:vAlign w:val="center"/>
          </w:tcPr>
          <w:p w14:paraId="745A1EF1">
            <w:pPr>
              <w:keepNext w:val="0"/>
              <w:pageBreakBefore w:val="0"/>
              <w:bidi w:val="0"/>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公安</w:t>
            </w:r>
            <w:r>
              <w:rPr>
                <w:rFonts w:hint="eastAsia" w:ascii="宋体" w:hAnsi="宋体" w:eastAsia="宋体" w:cs="宋体"/>
                <w:kern w:val="0"/>
                <w:sz w:val="21"/>
                <w:szCs w:val="21"/>
                <w:lang w:val="en-US" w:eastAsia="zh-CN"/>
              </w:rPr>
              <w:t>局</w:t>
            </w:r>
          </w:p>
        </w:tc>
      </w:tr>
      <w:tr w14:paraId="690A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0CB11556">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21A24422">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7CE64539">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619A682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企业不动产登记信息核查</w:t>
            </w:r>
          </w:p>
        </w:tc>
        <w:tc>
          <w:tcPr>
            <w:tcW w:w="2977" w:type="dxa"/>
            <w:noWrap w:val="0"/>
            <w:vAlign w:val="center"/>
          </w:tcPr>
          <w:p w14:paraId="30103A31">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自然资源</w:t>
            </w:r>
            <w:r>
              <w:rPr>
                <w:rFonts w:hint="eastAsia" w:ascii="宋体" w:hAnsi="宋体" w:eastAsia="宋体" w:cs="宋体"/>
                <w:kern w:val="0"/>
                <w:sz w:val="21"/>
                <w:szCs w:val="21"/>
                <w:lang w:val="en-US" w:eastAsia="zh-CN"/>
              </w:rPr>
              <w:t>局</w:t>
            </w:r>
          </w:p>
        </w:tc>
      </w:tr>
      <w:tr w14:paraId="3302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78EF108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2AA68CC9">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2AFFF2F4">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60FC43C5">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社会保险参保缴费记录核查</w:t>
            </w:r>
          </w:p>
        </w:tc>
        <w:tc>
          <w:tcPr>
            <w:tcW w:w="2977" w:type="dxa"/>
            <w:noWrap w:val="0"/>
            <w:vAlign w:val="center"/>
          </w:tcPr>
          <w:p w14:paraId="47A730B9">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r>
              <w:rPr>
                <w:rFonts w:hint="eastAsia" w:ascii="宋体" w:hAnsi="宋体" w:eastAsia="宋体" w:cs="宋体"/>
                <w:kern w:val="0"/>
                <w:sz w:val="21"/>
                <w:szCs w:val="21"/>
              </w:rPr>
              <w:t>、</w:t>
            </w:r>
          </w:p>
          <w:p w14:paraId="696D09BF">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税务局</w:t>
            </w:r>
          </w:p>
        </w:tc>
      </w:tr>
      <w:tr w14:paraId="7E7B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5ADFB841">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13753DE8">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23F6011C">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733CB3DF">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企业注册、登记等基本信息核查</w:t>
            </w:r>
          </w:p>
        </w:tc>
        <w:tc>
          <w:tcPr>
            <w:tcW w:w="2977" w:type="dxa"/>
            <w:noWrap w:val="0"/>
            <w:vAlign w:val="center"/>
          </w:tcPr>
          <w:p w14:paraId="1978D132">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市场监管局</w:t>
            </w:r>
          </w:p>
        </w:tc>
      </w:tr>
      <w:tr w14:paraId="065D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28B1EE1B">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6A85C6B6">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6E1D6645">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7DB99C5C">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企业人员医保缴存信息核查</w:t>
            </w:r>
          </w:p>
        </w:tc>
        <w:tc>
          <w:tcPr>
            <w:tcW w:w="2977" w:type="dxa"/>
            <w:noWrap w:val="0"/>
            <w:vAlign w:val="center"/>
          </w:tcPr>
          <w:p w14:paraId="7B4AC86F">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医保局、</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税务局</w:t>
            </w:r>
          </w:p>
        </w:tc>
      </w:tr>
      <w:tr w14:paraId="33C7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21CAEBEA">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228297AD">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5923177C">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3189B696">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企业房产信息核查</w:t>
            </w:r>
          </w:p>
        </w:tc>
        <w:tc>
          <w:tcPr>
            <w:tcW w:w="2977" w:type="dxa"/>
            <w:noWrap w:val="0"/>
            <w:vAlign w:val="center"/>
          </w:tcPr>
          <w:p w14:paraId="25C19071">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住房</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城乡建设</w:t>
            </w:r>
            <w:r>
              <w:rPr>
                <w:rFonts w:hint="eastAsia" w:ascii="宋体" w:hAnsi="宋体" w:eastAsia="宋体" w:cs="宋体"/>
                <w:kern w:val="0"/>
                <w:sz w:val="21"/>
                <w:szCs w:val="21"/>
                <w:lang w:val="en-US" w:eastAsia="zh-CN"/>
              </w:rPr>
              <w:t>局</w:t>
            </w:r>
          </w:p>
        </w:tc>
      </w:tr>
      <w:tr w14:paraId="2EBA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1CBFBAE8">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17059FFF">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4D7E55AD">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3A87C67A">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企业人员住房公积金缴存信息核查</w:t>
            </w:r>
          </w:p>
        </w:tc>
        <w:tc>
          <w:tcPr>
            <w:tcW w:w="2977" w:type="dxa"/>
            <w:noWrap w:val="0"/>
            <w:vAlign w:val="center"/>
          </w:tcPr>
          <w:p w14:paraId="2A612FA5">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地区住房公积金管理中心</w:t>
            </w:r>
          </w:p>
        </w:tc>
      </w:tr>
      <w:tr w14:paraId="1F86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25A9A189">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6DA8DB4F">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76B70B58">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4E5A82FA">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企业纳税缴税情况信息核查</w:t>
            </w:r>
          </w:p>
        </w:tc>
        <w:tc>
          <w:tcPr>
            <w:tcW w:w="2977" w:type="dxa"/>
            <w:noWrap w:val="0"/>
            <w:vAlign w:val="center"/>
          </w:tcPr>
          <w:p w14:paraId="218661AE">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税务局</w:t>
            </w:r>
          </w:p>
        </w:tc>
      </w:tr>
      <w:tr w14:paraId="6818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6B79DE81">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1027246B">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04E8CB75">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6009DFBE">
            <w:pPr>
              <w:keepNext w:val="0"/>
              <w:pageBreakBefore w:val="0"/>
              <w:bidi w:val="0"/>
              <w:spacing w:line="440" w:lineRule="exact"/>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企业海关税款缴纳、货物通关信息核查</w:t>
            </w:r>
          </w:p>
        </w:tc>
        <w:tc>
          <w:tcPr>
            <w:tcW w:w="2977" w:type="dxa"/>
            <w:noWrap w:val="0"/>
            <w:vAlign w:val="center"/>
          </w:tcPr>
          <w:p w14:paraId="76CDA4BF">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漠河</w:t>
            </w:r>
            <w:r>
              <w:rPr>
                <w:rFonts w:hint="eastAsia" w:ascii="宋体" w:hAnsi="宋体" w:eastAsia="宋体" w:cs="宋体"/>
                <w:kern w:val="0"/>
                <w:sz w:val="21"/>
                <w:szCs w:val="21"/>
              </w:rPr>
              <w:t>海关</w:t>
            </w:r>
          </w:p>
        </w:tc>
      </w:tr>
      <w:tr w14:paraId="45AC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14:paraId="029D4BE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restart"/>
            <w:noWrap w:val="0"/>
            <w:vAlign w:val="center"/>
          </w:tcPr>
          <w:p w14:paraId="384B822B">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50" w:type="dxa"/>
            <w:vMerge w:val="restart"/>
            <w:noWrap w:val="0"/>
            <w:vAlign w:val="center"/>
          </w:tcPr>
          <w:p w14:paraId="30398752">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企业注销</w:t>
            </w:r>
          </w:p>
          <w:p w14:paraId="6A4F0B07">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登记“一件事”</w:t>
            </w:r>
          </w:p>
        </w:tc>
        <w:tc>
          <w:tcPr>
            <w:tcW w:w="3536" w:type="dxa"/>
            <w:noWrap w:val="0"/>
            <w:vAlign w:val="center"/>
          </w:tcPr>
          <w:p w14:paraId="5F1652B6">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税务注销</w:t>
            </w:r>
          </w:p>
        </w:tc>
        <w:tc>
          <w:tcPr>
            <w:tcW w:w="2977" w:type="dxa"/>
            <w:noWrap w:val="0"/>
            <w:vAlign w:val="center"/>
          </w:tcPr>
          <w:p w14:paraId="5C1B5157">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税务局</w:t>
            </w:r>
          </w:p>
        </w:tc>
      </w:tr>
      <w:tr w14:paraId="6AC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top"/>
          </w:tcPr>
          <w:p w14:paraId="0211C9F6">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64A76ED">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5AD55CC8">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678D3983">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企业注销登记</w:t>
            </w:r>
          </w:p>
        </w:tc>
        <w:tc>
          <w:tcPr>
            <w:tcW w:w="2977" w:type="dxa"/>
            <w:noWrap w:val="0"/>
            <w:vAlign w:val="center"/>
          </w:tcPr>
          <w:p w14:paraId="4B388592">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市场监管局</w:t>
            </w:r>
          </w:p>
        </w:tc>
      </w:tr>
      <w:tr w14:paraId="4450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top"/>
          </w:tcPr>
          <w:p w14:paraId="4745D082">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0DE4ED6E">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35A4C71B">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59A5EB3E">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海关报关单位备案注销</w:t>
            </w:r>
          </w:p>
        </w:tc>
        <w:tc>
          <w:tcPr>
            <w:tcW w:w="2977" w:type="dxa"/>
            <w:noWrap w:val="0"/>
            <w:vAlign w:val="center"/>
          </w:tcPr>
          <w:p w14:paraId="72600A25">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漠河</w:t>
            </w:r>
            <w:r>
              <w:rPr>
                <w:rFonts w:hint="eastAsia" w:ascii="宋体" w:hAnsi="宋体" w:eastAsia="宋体" w:cs="宋体"/>
                <w:kern w:val="0"/>
                <w:sz w:val="21"/>
                <w:szCs w:val="21"/>
              </w:rPr>
              <w:t>海关</w:t>
            </w:r>
          </w:p>
        </w:tc>
      </w:tr>
      <w:tr w14:paraId="19F1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top"/>
          </w:tcPr>
          <w:p w14:paraId="034906B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5319C3C6">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598CEA56">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1A553BF1">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注销社会保险登记</w:t>
            </w:r>
          </w:p>
        </w:tc>
        <w:tc>
          <w:tcPr>
            <w:tcW w:w="2977" w:type="dxa"/>
            <w:noWrap w:val="0"/>
            <w:vAlign w:val="center"/>
          </w:tcPr>
          <w:p w14:paraId="1A2FD821">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p>
        </w:tc>
      </w:tr>
      <w:tr w14:paraId="5F5A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top"/>
          </w:tcPr>
          <w:p w14:paraId="6F9ACCED">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ED84D45">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5B85439">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37BEF08D">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银行账户注销</w:t>
            </w:r>
          </w:p>
        </w:tc>
        <w:tc>
          <w:tcPr>
            <w:tcW w:w="2977" w:type="dxa"/>
            <w:noWrap w:val="0"/>
            <w:vAlign w:val="center"/>
          </w:tcPr>
          <w:p w14:paraId="55E005A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人民银行</w:t>
            </w:r>
            <w:r>
              <w:rPr>
                <w:rFonts w:hint="eastAsia" w:ascii="宋体" w:hAnsi="宋体" w:eastAsia="宋体" w:cs="宋体"/>
                <w:kern w:val="0"/>
                <w:sz w:val="21"/>
                <w:szCs w:val="21"/>
                <w:lang w:val="en-US" w:eastAsia="zh-CN"/>
              </w:rPr>
              <w:t>大兴安岭地区</w:t>
            </w:r>
            <w:r>
              <w:rPr>
                <w:rFonts w:hint="eastAsia" w:ascii="宋体" w:hAnsi="宋体" w:eastAsia="宋体" w:cs="宋体"/>
                <w:kern w:val="0"/>
                <w:sz w:val="21"/>
                <w:szCs w:val="21"/>
              </w:rPr>
              <w:t>分行</w:t>
            </w:r>
          </w:p>
        </w:tc>
      </w:tr>
      <w:tr w14:paraId="06C8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top"/>
          </w:tcPr>
          <w:p w14:paraId="19908294">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4D18DB74">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448A6A16">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707E976D">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企业印章注销</w:t>
            </w:r>
          </w:p>
        </w:tc>
        <w:tc>
          <w:tcPr>
            <w:tcW w:w="2977" w:type="dxa"/>
            <w:noWrap w:val="0"/>
            <w:vAlign w:val="center"/>
          </w:tcPr>
          <w:p w14:paraId="2DCCEA59">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公安</w:t>
            </w:r>
            <w:r>
              <w:rPr>
                <w:rFonts w:hint="eastAsia" w:ascii="宋体" w:hAnsi="宋体" w:eastAsia="宋体" w:cs="宋体"/>
                <w:kern w:val="0"/>
                <w:sz w:val="21"/>
                <w:szCs w:val="21"/>
                <w:lang w:val="en-US" w:eastAsia="zh-CN"/>
              </w:rPr>
              <w:t>局</w:t>
            </w:r>
          </w:p>
        </w:tc>
      </w:tr>
      <w:tr w14:paraId="59DB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69" w:type="dxa"/>
            <w:gridSpan w:val="5"/>
            <w:noWrap w:val="0"/>
            <w:vAlign w:val="center"/>
          </w:tcPr>
          <w:p w14:paraId="053CA859">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(二)个人事项</w:t>
            </w:r>
          </w:p>
        </w:tc>
      </w:tr>
      <w:tr w14:paraId="79CD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restart"/>
            <w:noWrap w:val="0"/>
            <w:vAlign w:val="center"/>
          </w:tcPr>
          <w:p w14:paraId="45B1ED10">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出</w:t>
            </w:r>
          </w:p>
          <w:p w14:paraId="07D89130">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生</w:t>
            </w:r>
          </w:p>
        </w:tc>
        <w:tc>
          <w:tcPr>
            <w:tcW w:w="767" w:type="dxa"/>
            <w:vMerge w:val="restart"/>
            <w:noWrap w:val="0"/>
            <w:vAlign w:val="center"/>
          </w:tcPr>
          <w:p w14:paraId="4596499E">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50" w:type="dxa"/>
            <w:vMerge w:val="restart"/>
            <w:noWrap w:val="0"/>
            <w:vAlign w:val="center"/>
          </w:tcPr>
          <w:p w14:paraId="1F6BECF0">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新生儿出生</w:t>
            </w:r>
          </w:p>
          <w:p w14:paraId="2CF00AFB">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“一件事”</w:t>
            </w:r>
          </w:p>
        </w:tc>
        <w:tc>
          <w:tcPr>
            <w:tcW w:w="3536" w:type="dxa"/>
            <w:noWrap w:val="0"/>
            <w:vAlign w:val="center"/>
          </w:tcPr>
          <w:p w14:paraId="39956AEA">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《出生医学证明》办理(首签)</w:t>
            </w:r>
          </w:p>
        </w:tc>
        <w:tc>
          <w:tcPr>
            <w:tcW w:w="2977" w:type="dxa"/>
            <w:noWrap w:val="0"/>
            <w:vAlign w:val="center"/>
          </w:tcPr>
          <w:p w14:paraId="66DA53CE">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卫生健康委</w:t>
            </w:r>
          </w:p>
        </w:tc>
      </w:tr>
      <w:tr w14:paraId="33A2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05D9C1A9">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3DF1732A">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6A7F70B3">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1189B92B">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预防接种证办理</w:t>
            </w:r>
          </w:p>
        </w:tc>
        <w:tc>
          <w:tcPr>
            <w:tcW w:w="2977" w:type="dxa"/>
            <w:noWrap w:val="0"/>
            <w:vAlign w:val="center"/>
          </w:tcPr>
          <w:p w14:paraId="6FF59765">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疾控</w:t>
            </w:r>
            <w:r>
              <w:rPr>
                <w:rFonts w:hint="eastAsia" w:ascii="宋体" w:hAnsi="宋体" w:eastAsia="宋体" w:cs="宋体"/>
                <w:kern w:val="0"/>
                <w:sz w:val="21"/>
                <w:szCs w:val="21"/>
                <w:lang w:val="en-US" w:eastAsia="zh-CN"/>
              </w:rPr>
              <w:t>中心</w:t>
            </w:r>
          </w:p>
        </w:tc>
      </w:tr>
      <w:tr w14:paraId="1EDDC1F8">
        <w:tblPrEx>
          <w:tblCellMar>
            <w:top w:w="0" w:type="dxa"/>
            <w:left w:w="108" w:type="dxa"/>
            <w:bottom w:w="0" w:type="dxa"/>
            <w:right w:w="108" w:type="dxa"/>
          </w:tblCellMar>
        </w:tblPrEx>
        <w:trPr>
          <w:trHeight w:val="454" w:hRule="atLeast"/>
          <w:jc w:val="center"/>
        </w:trPr>
        <w:tc>
          <w:tcPr>
            <w:tcW w:w="739" w:type="dxa"/>
            <w:vMerge w:val="continue"/>
            <w:noWrap w:val="0"/>
            <w:vAlign w:val="center"/>
          </w:tcPr>
          <w:p w14:paraId="082577E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1D2ADB2D">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191EE15E">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0B9014AE">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本市户口登记(申报出生登记)1 岁以下婚内本市生育</w:t>
            </w:r>
          </w:p>
        </w:tc>
        <w:tc>
          <w:tcPr>
            <w:tcW w:w="2977" w:type="dxa"/>
            <w:noWrap w:val="0"/>
            <w:vAlign w:val="center"/>
          </w:tcPr>
          <w:p w14:paraId="2A75BFE5">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公安</w:t>
            </w:r>
            <w:r>
              <w:rPr>
                <w:rFonts w:hint="eastAsia" w:ascii="宋体" w:hAnsi="宋体" w:eastAsia="宋体" w:cs="宋体"/>
                <w:kern w:val="0"/>
                <w:sz w:val="21"/>
                <w:szCs w:val="21"/>
                <w:lang w:val="en-US" w:eastAsia="zh-CN"/>
              </w:rPr>
              <w:t>局</w:t>
            </w:r>
          </w:p>
        </w:tc>
      </w:tr>
      <w:tr w14:paraId="6383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072C79F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0A334F79">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5D5063DF">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5148F7BE">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社会保障卡申领</w:t>
            </w:r>
          </w:p>
        </w:tc>
        <w:tc>
          <w:tcPr>
            <w:tcW w:w="2977" w:type="dxa"/>
            <w:noWrap w:val="0"/>
            <w:vAlign w:val="center"/>
          </w:tcPr>
          <w:p w14:paraId="380D1E2C">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p>
        </w:tc>
      </w:tr>
      <w:tr w14:paraId="5144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262C8601">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0E4D0A46">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3C561715">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1552938E">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生育医疗费用报销</w:t>
            </w:r>
          </w:p>
        </w:tc>
        <w:tc>
          <w:tcPr>
            <w:tcW w:w="2977" w:type="dxa"/>
            <w:vMerge w:val="restart"/>
            <w:noWrap w:val="0"/>
            <w:vAlign w:val="center"/>
          </w:tcPr>
          <w:p w14:paraId="1227345F">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医保局</w:t>
            </w:r>
          </w:p>
        </w:tc>
      </w:tr>
      <w:tr w14:paraId="42B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083331B5">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5988E32D">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4F068768">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316DA193">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办理居民医保登记</w:t>
            </w:r>
          </w:p>
        </w:tc>
        <w:tc>
          <w:tcPr>
            <w:tcW w:w="2977" w:type="dxa"/>
            <w:vMerge w:val="continue"/>
            <w:noWrap w:val="0"/>
            <w:vAlign w:val="center"/>
          </w:tcPr>
          <w:p w14:paraId="5612AAEB">
            <w:pPr>
              <w:keepNext w:val="0"/>
              <w:pageBreakBefore w:val="0"/>
              <w:bidi w:val="0"/>
              <w:spacing w:line="440" w:lineRule="exact"/>
              <w:jc w:val="center"/>
              <w:rPr>
                <w:rFonts w:hint="eastAsia" w:ascii="宋体" w:hAnsi="宋体" w:eastAsia="宋体" w:cs="宋体"/>
                <w:kern w:val="0"/>
                <w:sz w:val="21"/>
                <w:szCs w:val="21"/>
              </w:rPr>
            </w:pPr>
          </w:p>
        </w:tc>
      </w:tr>
      <w:tr w14:paraId="0EB4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6EF9BBA4">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0DB8B2E0">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6F4D9304">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7A5A4A93">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科学育儿指导服务登记</w:t>
            </w:r>
          </w:p>
        </w:tc>
        <w:tc>
          <w:tcPr>
            <w:tcW w:w="2977" w:type="dxa"/>
            <w:noWrap w:val="0"/>
            <w:vAlign w:val="center"/>
          </w:tcPr>
          <w:p w14:paraId="359440A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卫生健康委</w:t>
            </w:r>
          </w:p>
        </w:tc>
      </w:tr>
      <w:tr w14:paraId="0AB1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restart"/>
            <w:noWrap w:val="0"/>
            <w:vAlign w:val="center"/>
          </w:tcPr>
          <w:p w14:paraId="0F6CC8F5">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入</w:t>
            </w:r>
          </w:p>
          <w:p w14:paraId="16666494">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学</w:t>
            </w:r>
          </w:p>
        </w:tc>
        <w:tc>
          <w:tcPr>
            <w:tcW w:w="767" w:type="dxa"/>
            <w:vMerge w:val="restart"/>
            <w:noWrap w:val="0"/>
            <w:vAlign w:val="center"/>
          </w:tcPr>
          <w:p w14:paraId="75301D3D">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50" w:type="dxa"/>
            <w:vMerge w:val="restart"/>
            <w:noWrap w:val="0"/>
            <w:vAlign w:val="center"/>
          </w:tcPr>
          <w:p w14:paraId="72CADBB7">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教育入学</w:t>
            </w:r>
          </w:p>
          <w:p w14:paraId="000031C4">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“一件事”</w:t>
            </w:r>
          </w:p>
        </w:tc>
        <w:tc>
          <w:tcPr>
            <w:tcW w:w="3536" w:type="dxa"/>
            <w:noWrap w:val="0"/>
            <w:vAlign w:val="center"/>
          </w:tcPr>
          <w:p w14:paraId="10577D13">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新生入学信息采集</w:t>
            </w:r>
          </w:p>
        </w:tc>
        <w:tc>
          <w:tcPr>
            <w:tcW w:w="2977" w:type="dxa"/>
            <w:noWrap w:val="0"/>
            <w:vAlign w:val="center"/>
          </w:tcPr>
          <w:p w14:paraId="05CD6FDA">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教育</w:t>
            </w:r>
            <w:r>
              <w:rPr>
                <w:rFonts w:hint="eastAsia" w:ascii="宋体" w:hAnsi="宋体" w:eastAsia="宋体" w:cs="宋体"/>
                <w:kern w:val="0"/>
                <w:sz w:val="21"/>
                <w:szCs w:val="21"/>
                <w:lang w:val="en-US" w:eastAsia="zh-CN"/>
              </w:rPr>
              <w:t>局</w:t>
            </w:r>
          </w:p>
        </w:tc>
      </w:tr>
      <w:tr w14:paraId="3CF8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048B068A">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482F8AD3">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446CE1FE">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028B990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户籍类证明</w:t>
            </w:r>
          </w:p>
        </w:tc>
        <w:tc>
          <w:tcPr>
            <w:tcW w:w="2977" w:type="dxa"/>
            <w:vMerge w:val="restart"/>
            <w:noWrap w:val="0"/>
            <w:vAlign w:val="center"/>
          </w:tcPr>
          <w:p w14:paraId="0533C7C8">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公安</w:t>
            </w:r>
            <w:r>
              <w:rPr>
                <w:rFonts w:hint="eastAsia" w:ascii="宋体" w:hAnsi="宋体" w:eastAsia="宋体" w:cs="宋体"/>
                <w:kern w:val="0"/>
                <w:sz w:val="21"/>
                <w:szCs w:val="21"/>
                <w:lang w:val="en-US" w:eastAsia="zh-CN"/>
              </w:rPr>
              <w:t>局</w:t>
            </w:r>
          </w:p>
        </w:tc>
      </w:tr>
      <w:tr w14:paraId="7F8D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2BC6AD6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0D03550D">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1BA65936">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4530EC63">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居住证</w:t>
            </w:r>
          </w:p>
        </w:tc>
        <w:tc>
          <w:tcPr>
            <w:tcW w:w="2977" w:type="dxa"/>
            <w:vMerge w:val="continue"/>
            <w:noWrap w:val="0"/>
            <w:vAlign w:val="center"/>
          </w:tcPr>
          <w:p w14:paraId="7566407A">
            <w:pPr>
              <w:keepNext w:val="0"/>
              <w:pageBreakBefore w:val="0"/>
              <w:bidi w:val="0"/>
              <w:spacing w:line="440" w:lineRule="exact"/>
              <w:jc w:val="center"/>
              <w:rPr>
                <w:rFonts w:hint="eastAsia" w:ascii="宋体" w:hAnsi="宋体" w:eastAsia="宋体" w:cs="宋体"/>
                <w:kern w:val="0"/>
                <w:sz w:val="21"/>
                <w:szCs w:val="21"/>
              </w:rPr>
            </w:pPr>
          </w:p>
        </w:tc>
      </w:tr>
      <w:tr w14:paraId="4325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4963A6AB">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5433E5F0">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4C2C6F39">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4C47886F">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不动产权证书</w:t>
            </w:r>
          </w:p>
        </w:tc>
        <w:tc>
          <w:tcPr>
            <w:tcW w:w="2977" w:type="dxa"/>
            <w:noWrap w:val="0"/>
            <w:vAlign w:val="center"/>
          </w:tcPr>
          <w:p w14:paraId="0D68EAA0">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自然资源</w:t>
            </w:r>
            <w:r>
              <w:rPr>
                <w:rFonts w:hint="eastAsia" w:ascii="宋体" w:hAnsi="宋体" w:eastAsia="宋体" w:cs="宋体"/>
                <w:kern w:val="0"/>
                <w:sz w:val="21"/>
                <w:szCs w:val="21"/>
                <w:lang w:val="en-US" w:eastAsia="zh-CN"/>
              </w:rPr>
              <w:t>局</w:t>
            </w:r>
          </w:p>
        </w:tc>
      </w:tr>
      <w:tr w14:paraId="2100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41F377D6">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center"/>
          </w:tcPr>
          <w:p w14:paraId="21CCE32D">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center"/>
          </w:tcPr>
          <w:p w14:paraId="4F65DCE2">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72390E4F">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社会保险参保缴费记录查询</w:t>
            </w:r>
          </w:p>
        </w:tc>
        <w:tc>
          <w:tcPr>
            <w:tcW w:w="2977" w:type="dxa"/>
            <w:noWrap w:val="0"/>
            <w:vAlign w:val="center"/>
          </w:tcPr>
          <w:p w14:paraId="08ABC645">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p>
        </w:tc>
      </w:tr>
      <w:tr w14:paraId="7553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restart"/>
            <w:noWrap w:val="0"/>
            <w:vAlign w:val="center"/>
          </w:tcPr>
          <w:p w14:paraId="2A3D55EB">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生</w:t>
            </w:r>
          </w:p>
          <w:p w14:paraId="5F0B4800">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活</w:t>
            </w:r>
          </w:p>
        </w:tc>
        <w:tc>
          <w:tcPr>
            <w:tcW w:w="767" w:type="dxa"/>
            <w:vMerge w:val="restart"/>
            <w:noWrap w:val="0"/>
            <w:vAlign w:val="center"/>
          </w:tcPr>
          <w:p w14:paraId="32C71DA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50" w:type="dxa"/>
            <w:vMerge w:val="restart"/>
            <w:noWrap w:val="0"/>
            <w:vAlign w:val="center"/>
          </w:tcPr>
          <w:p w14:paraId="5A42AD24">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社会保障卡</w:t>
            </w:r>
          </w:p>
          <w:p w14:paraId="7D20A0AD">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居民服务</w:t>
            </w:r>
          </w:p>
          <w:p w14:paraId="7C4B0885">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“一件事”</w:t>
            </w:r>
          </w:p>
        </w:tc>
        <w:tc>
          <w:tcPr>
            <w:tcW w:w="3536" w:type="dxa"/>
            <w:noWrap w:val="0"/>
            <w:vAlign w:val="center"/>
          </w:tcPr>
          <w:p w14:paraId="67F7FC75">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就业和人力资源服务、社保服务</w:t>
            </w:r>
          </w:p>
        </w:tc>
        <w:tc>
          <w:tcPr>
            <w:tcW w:w="2977" w:type="dxa"/>
            <w:noWrap w:val="0"/>
            <w:vAlign w:val="center"/>
          </w:tcPr>
          <w:p w14:paraId="53C1E17A">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p>
        </w:tc>
      </w:tr>
      <w:tr w14:paraId="4424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1A950ACA">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568E23C">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55A2CD40">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486490E2">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就医购药</w:t>
            </w:r>
          </w:p>
        </w:tc>
        <w:tc>
          <w:tcPr>
            <w:tcW w:w="2977" w:type="dxa"/>
            <w:noWrap w:val="0"/>
            <w:vAlign w:val="center"/>
          </w:tcPr>
          <w:p w14:paraId="3EF7FF60">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医保局</w:t>
            </w:r>
          </w:p>
        </w:tc>
      </w:tr>
      <w:tr w14:paraId="674A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02BDBE33">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0B7DF5D1">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6D7EF0A4">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0C772A47">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交通出行</w:t>
            </w:r>
          </w:p>
        </w:tc>
        <w:tc>
          <w:tcPr>
            <w:tcW w:w="2977" w:type="dxa"/>
            <w:noWrap w:val="0"/>
            <w:vAlign w:val="center"/>
          </w:tcPr>
          <w:p w14:paraId="23A5A082">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交通运输</w:t>
            </w:r>
            <w:r>
              <w:rPr>
                <w:rFonts w:hint="eastAsia" w:ascii="宋体" w:hAnsi="宋体" w:eastAsia="宋体" w:cs="宋体"/>
                <w:kern w:val="0"/>
                <w:sz w:val="21"/>
                <w:szCs w:val="21"/>
                <w:lang w:val="en-US" w:eastAsia="zh-CN"/>
              </w:rPr>
              <w:t>局</w:t>
            </w:r>
          </w:p>
        </w:tc>
      </w:tr>
      <w:tr w14:paraId="5922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1DD2DBC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4D187A7F">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4A1FAB88">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0E2CBBC5">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文化体验</w:t>
            </w:r>
          </w:p>
        </w:tc>
        <w:tc>
          <w:tcPr>
            <w:tcW w:w="2977" w:type="dxa"/>
            <w:noWrap w:val="0"/>
            <w:vAlign w:val="center"/>
          </w:tcPr>
          <w:p w14:paraId="61AF3BAE">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地区文体广电</w:t>
            </w:r>
            <w:r>
              <w:rPr>
                <w:rFonts w:hint="eastAsia" w:ascii="宋体" w:hAnsi="宋体" w:eastAsia="宋体" w:cs="宋体"/>
                <w:kern w:val="0"/>
                <w:sz w:val="21"/>
                <w:szCs w:val="21"/>
              </w:rPr>
              <w:t>和旅游</w:t>
            </w:r>
            <w:r>
              <w:rPr>
                <w:rFonts w:hint="eastAsia" w:ascii="宋体" w:hAnsi="宋体" w:eastAsia="宋体" w:cs="宋体"/>
                <w:kern w:val="0"/>
                <w:sz w:val="21"/>
                <w:szCs w:val="21"/>
                <w:lang w:val="en-US" w:eastAsia="zh-CN"/>
              </w:rPr>
              <w:t>局</w:t>
            </w:r>
          </w:p>
        </w:tc>
      </w:tr>
      <w:tr w14:paraId="183B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center"/>
          </w:tcPr>
          <w:p w14:paraId="16BEB803">
            <w:pPr>
              <w:keepNext w:val="0"/>
              <w:pageBreakBefore w:val="0"/>
              <w:bidi w:val="0"/>
              <w:spacing w:line="440" w:lineRule="exact"/>
              <w:jc w:val="center"/>
              <w:rPr>
                <w:rFonts w:hint="eastAsia" w:ascii="宋体" w:hAnsi="宋体" w:eastAsia="宋体" w:cs="宋体"/>
                <w:kern w:val="0"/>
                <w:sz w:val="21"/>
                <w:szCs w:val="21"/>
              </w:rPr>
            </w:pPr>
          </w:p>
        </w:tc>
        <w:tc>
          <w:tcPr>
            <w:tcW w:w="767" w:type="dxa"/>
            <w:vMerge w:val="restart"/>
            <w:noWrap w:val="0"/>
            <w:vAlign w:val="center"/>
          </w:tcPr>
          <w:p w14:paraId="0B7608F0">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50" w:type="dxa"/>
            <w:vMerge w:val="restart"/>
            <w:noWrap w:val="0"/>
            <w:vAlign w:val="center"/>
          </w:tcPr>
          <w:p w14:paraId="041E28F1">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残疾人服务</w:t>
            </w:r>
          </w:p>
          <w:p w14:paraId="566EBCBC">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“一件事”</w:t>
            </w:r>
          </w:p>
        </w:tc>
        <w:tc>
          <w:tcPr>
            <w:tcW w:w="3536" w:type="dxa"/>
            <w:noWrap w:val="0"/>
            <w:vAlign w:val="center"/>
          </w:tcPr>
          <w:p w14:paraId="642BDAB5">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残疾人证新办、换领、迁移、挂失、补办、注销、残疾类别/等级变更</w:t>
            </w:r>
          </w:p>
        </w:tc>
        <w:tc>
          <w:tcPr>
            <w:tcW w:w="2977" w:type="dxa"/>
            <w:noWrap w:val="0"/>
            <w:vAlign w:val="center"/>
          </w:tcPr>
          <w:p w14:paraId="7FDA4F28">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残联</w:t>
            </w:r>
          </w:p>
        </w:tc>
      </w:tr>
      <w:tr w14:paraId="3CFD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622582FF">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5715AD4C">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3411FEBD">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163921AB">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困难残疾人生活补贴</w:t>
            </w:r>
          </w:p>
        </w:tc>
        <w:tc>
          <w:tcPr>
            <w:tcW w:w="2977" w:type="dxa"/>
            <w:vMerge w:val="restart"/>
            <w:noWrap w:val="0"/>
            <w:vAlign w:val="center"/>
          </w:tcPr>
          <w:p w14:paraId="4D492F33">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民政</w:t>
            </w:r>
            <w:r>
              <w:rPr>
                <w:rFonts w:hint="eastAsia" w:ascii="宋体" w:hAnsi="宋体" w:eastAsia="宋体" w:cs="宋体"/>
                <w:kern w:val="0"/>
                <w:sz w:val="21"/>
                <w:szCs w:val="21"/>
                <w:lang w:val="en-US" w:eastAsia="zh-CN"/>
              </w:rPr>
              <w:t>局</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残联</w:t>
            </w:r>
          </w:p>
        </w:tc>
      </w:tr>
      <w:tr w14:paraId="2BA5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2763CBA8">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682CC79">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2976ECFA">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69B4E466">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重度残疾人护理补贴</w:t>
            </w:r>
          </w:p>
        </w:tc>
        <w:tc>
          <w:tcPr>
            <w:tcW w:w="2977" w:type="dxa"/>
            <w:vMerge w:val="continue"/>
            <w:noWrap w:val="0"/>
            <w:vAlign w:val="center"/>
          </w:tcPr>
          <w:p w14:paraId="0E488717">
            <w:pPr>
              <w:keepNext w:val="0"/>
              <w:pageBreakBefore w:val="0"/>
              <w:bidi w:val="0"/>
              <w:spacing w:line="440" w:lineRule="exact"/>
              <w:jc w:val="center"/>
              <w:rPr>
                <w:rFonts w:hint="eastAsia" w:ascii="宋体" w:hAnsi="宋体" w:eastAsia="宋体" w:cs="宋体"/>
                <w:kern w:val="0"/>
                <w:sz w:val="21"/>
                <w:szCs w:val="21"/>
              </w:rPr>
            </w:pPr>
          </w:p>
        </w:tc>
      </w:tr>
      <w:tr w14:paraId="5359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44FF795A">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FA65B33">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775DA0B3">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7C983FAE">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残疾人就业帮扶</w:t>
            </w:r>
          </w:p>
        </w:tc>
        <w:tc>
          <w:tcPr>
            <w:tcW w:w="2977" w:type="dxa"/>
            <w:noWrap w:val="0"/>
            <w:vAlign w:val="center"/>
          </w:tcPr>
          <w:p w14:paraId="209B54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r>
              <w:rPr>
                <w:rFonts w:hint="eastAsia" w:ascii="宋体" w:hAnsi="宋体" w:eastAsia="宋体" w:cs="宋体"/>
                <w:kern w:val="0"/>
                <w:sz w:val="21"/>
                <w:szCs w:val="21"/>
              </w:rPr>
              <w:t>、</w:t>
            </w:r>
          </w:p>
          <w:p w14:paraId="5A06EB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残联</w:t>
            </w:r>
          </w:p>
        </w:tc>
      </w:tr>
      <w:tr w14:paraId="71C3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724A75BB">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273D030D">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2F1A9EB1">
            <w:pPr>
              <w:keepNext w:val="0"/>
              <w:pageBreakBefore w:val="0"/>
              <w:bidi w:val="0"/>
              <w:spacing w:line="440" w:lineRule="exact"/>
              <w:jc w:val="left"/>
              <w:rPr>
                <w:rFonts w:hint="eastAsia" w:ascii="宋体" w:hAnsi="宋体" w:eastAsia="宋体" w:cs="宋体"/>
                <w:kern w:val="0"/>
                <w:sz w:val="21"/>
                <w:szCs w:val="21"/>
              </w:rPr>
            </w:pPr>
          </w:p>
        </w:tc>
        <w:tc>
          <w:tcPr>
            <w:tcW w:w="3536" w:type="dxa"/>
            <w:noWrap w:val="0"/>
            <w:vAlign w:val="center"/>
          </w:tcPr>
          <w:p w14:paraId="264D88CC">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城乡居民基本养老保险补助</w:t>
            </w:r>
          </w:p>
        </w:tc>
        <w:tc>
          <w:tcPr>
            <w:tcW w:w="2977" w:type="dxa"/>
            <w:noWrap w:val="0"/>
            <w:vAlign w:val="center"/>
          </w:tcPr>
          <w:p w14:paraId="06AE7426">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p>
        </w:tc>
      </w:tr>
      <w:tr w14:paraId="7A3C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restart"/>
            <w:noWrap w:val="0"/>
            <w:vAlign w:val="center"/>
          </w:tcPr>
          <w:p w14:paraId="145B63DD">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退</w:t>
            </w:r>
          </w:p>
          <w:p w14:paraId="5F4DE97B">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休</w:t>
            </w:r>
          </w:p>
        </w:tc>
        <w:tc>
          <w:tcPr>
            <w:tcW w:w="767" w:type="dxa"/>
            <w:vMerge w:val="restart"/>
            <w:noWrap w:val="0"/>
            <w:vAlign w:val="center"/>
          </w:tcPr>
          <w:p w14:paraId="01343769">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50" w:type="dxa"/>
            <w:vMerge w:val="restart"/>
            <w:noWrap w:val="0"/>
            <w:vAlign w:val="center"/>
          </w:tcPr>
          <w:p w14:paraId="7E433386">
            <w:pPr>
              <w:keepNext w:val="0"/>
              <w:pageBreakBefore w:val="0"/>
              <w:bidi w:val="0"/>
              <w:spacing w:line="440" w:lineRule="exact"/>
              <w:ind w:firstLine="105" w:firstLineChars="50"/>
              <w:rPr>
                <w:rFonts w:hint="eastAsia" w:ascii="宋体" w:hAnsi="宋体" w:eastAsia="宋体" w:cs="宋体"/>
                <w:kern w:val="0"/>
                <w:sz w:val="21"/>
                <w:szCs w:val="21"/>
              </w:rPr>
            </w:pPr>
            <w:r>
              <w:rPr>
                <w:rFonts w:hint="eastAsia" w:ascii="宋体" w:hAnsi="宋体" w:eastAsia="宋体" w:cs="宋体"/>
                <w:kern w:val="0"/>
                <w:sz w:val="21"/>
                <w:szCs w:val="21"/>
              </w:rPr>
              <w:t>退休“一件事”</w:t>
            </w:r>
          </w:p>
        </w:tc>
        <w:tc>
          <w:tcPr>
            <w:tcW w:w="3536" w:type="dxa"/>
            <w:noWrap w:val="0"/>
            <w:vAlign w:val="center"/>
          </w:tcPr>
          <w:p w14:paraId="53019235">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参保人员达到法定退休年龄领取基本养老保险待遇资格确认</w:t>
            </w:r>
          </w:p>
        </w:tc>
        <w:tc>
          <w:tcPr>
            <w:tcW w:w="2977" w:type="dxa"/>
            <w:vMerge w:val="restart"/>
            <w:noWrap w:val="0"/>
            <w:vAlign w:val="center"/>
          </w:tcPr>
          <w:p w14:paraId="73DC5494">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人力资源</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社会保障</w:t>
            </w:r>
            <w:r>
              <w:rPr>
                <w:rFonts w:hint="eastAsia" w:ascii="宋体" w:hAnsi="宋体" w:eastAsia="宋体" w:cs="宋体"/>
                <w:kern w:val="0"/>
                <w:sz w:val="21"/>
                <w:szCs w:val="21"/>
                <w:lang w:val="en-US" w:eastAsia="zh-CN"/>
              </w:rPr>
              <w:t>局</w:t>
            </w:r>
          </w:p>
        </w:tc>
      </w:tr>
      <w:tr w14:paraId="5DCA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55E3B640">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5476BE67">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39AE2DD4">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1FF18D79">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基本养老保险视同缴费年限认定</w:t>
            </w:r>
          </w:p>
        </w:tc>
        <w:tc>
          <w:tcPr>
            <w:tcW w:w="2977" w:type="dxa"/>
            <w:vMerge w:val="continue"/>
            <w:noWrap w:val="0"/>
            <w:vAlign w:val="center"/>
          </w:tcPr>
          <w:p w14:paraId="28624B36">
            <w:pPr>
              <w:keepNext w:val="0"/>
              <w:pageBreakBefore w:val="0"/>
              <w:bidi w:val="0"/>
              <w:spacing w:line="440" w:lineRule="exact"/>
              <w:jc w:val="center"/>
              <w:rPr>
                <w:rFonts w:hint="eastAsia" w:ascii="宋体" w:hAnsi="宋体" w:eastAsia="宋体" w:cs="宋体"/>
                <w:kern w:val="0"/>
                <w:sz w:val="21"/>
                <w:szCs w:val="21"/>
              </w:rPr>
            </w:pPr>
          </w:p>
        </w:tc>
      </w:tr>
      <w:tr w14:paraId="0282B43B">
        <w:tblPrEx>
          <w:tblCellMar>
            <w:top w:w="0" w:type="dxa"/>
            <w:left w:w="108" w:type="dxa"/>
            <w:bottom w:w="0" w:type="dxa"/>
            <w:right w:w="108" w:type="dxa"/>
          </w:tblCellMar>
        </w:tblPrEx>
        <w:trPr>
          <w:trHeight w:val="454" w:hRule="atLeast"/>
          <w:jc w:val="center"/>
        </w:trPr>
        <w:tc>
          <w:tcPr>
            <w:tcW w:w="739" w:type="dxa"/>
            <w:vMerge w:val="continue"/>
            <w:noWrap w:val="0"/>
            <w:vAlign w:val="top"/>
          </w:tcPr>
          <w:p w14:paraId="1CAA3A6F">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5AE69EF3">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04CF45E">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0C991EAC">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特殊工种提前退休核准</w:t>
            </w:r>
          </w:p>
        </w:tc>
        <w:tc>
          <w:tcPr>
            <w:tcW w:w="2977" w:type="dxa"/>
            <w:vMerge w:val="continue"/>
            <w:noWrap w:val="0"/>
            <w:vAlign w:val="center"/>
          </w:tcPr>
          <w:p w14:paraId="05FCE9DB">
            <w:pPr>
              <w:keepNext w:val="0"/>
              <w:pageBreakBefore w:val="0"/>
              <w:bidi w:val="0"/>
              <w:spacing w:line="440" w:lineRule="exact"/>
              <w:jc w:val="center"/>
              <w:rPr>
                <w:rFonts w:hint="eastAsia" w:ascii="宋体" w:hAnsi="宋体" w:eastAsia="宋体" w:cs="宋体"/>
                <w:kern w:val="0"/>
                <w:sz w:val="21"/>
                <w:szCs w:val="21"/>
              </w:rPr>
            </w:pPr>
          </w:p>
        </w:tc>
      </w:tr>
      <w:tr w14:paraId="2748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4A3EB309">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106BD74">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A3021F4">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742D2644">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因病或非因工致残完全丧失劳动能力提前退休(退职)核准</w:t>
            </w:r>
          </w:p>
        </w:tc>
        <w:tc>
          <w:tcPr>
            <w:tcW w:w="2977" w:type="dxa"/>
            <w:vMerge w:val="continue"/>
            <w:noWrap w:val="0"/>
            <w:vAlign w:val="center"/>
          </w:tcPr>
          <w:p w14:paraId="05F4F9C5">
            <w:pPr>
              <w:keepNext w:val="0"/>
              <w:pageBreakBefore w:val="0"/>
              <w:bidi w:val="0"/>
              <w:spacing w:line="440" w:lineRule="exact"/>
              <w:jc w:val="center"/>
              <w:rPr>
                <w:rFonts w:hint="eastAsia" w:ascii="宋体" w:hAnsi="宋体" w:eastAsia="宋体" w:cs="宋体"/>
                <w:kern w:val="0"/>
                <w:sz w:val="21"/>
                <w:szCs w:val="21"/>
              </w:rPr>
            </w:pPr>
          </w:p>
        </w:tc>
      </w:tr>
      <w:tr w14:paraId="7643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5BC2F5BB">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73C8F401">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99DB791">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7EC16C29">
            <w:pPr>
              <w:keepNext w:val="0"/>
              <w:pageBreakBefore w:val="0"/>
              <w:bidi w:val="0"/>
              <w:spacing w:line="440" w:lineRule="exact"/>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新增退休人员养老保险待遇核定发放</w:t>
            </w:r>
          </w:p>
        </w:tc>
        <w:tc>
          <w:tcPr>
            <w:tcW w:w="2977" w:type="dxa"/>
            <w:vMerge w:val="continue"/>
            <w:noWrap w:val="0"/>
            <w:vAlign w:val="center"/>
          </w:tcPr>
          <w:p w14:paraId="31FB63BB">
            <w:pPr>
              <w:keepNext w:val="0"/>
              <w:pageBreakBefore w:val="0"/>
              <w:bidi w:val="0"/>
              <w:spacing w:line="440" w:lineRule="exact"/>
              <w:jc w:val="center"/>
              <w:rPr>
                <w:rFonts w:hint="eastAsia" w:ascii="宋体" w:hAnsi="宋体" w:eastAsia="宋体" w:cs="宋体"/>
                <w:kern w:val="0"/>
                <w:sz w:val="21"/>
                <w:szCs w:val="21"/>
              </w:rPr>
            </w:pPr>
          </w:p>
        </w:tc>
      </w:tr>
      <w:tr w14:paraId="281E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043F76E8">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46C3BCD7">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5B3B4568">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622E75C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基本医疗保险视同缴费年限核定</w:t>
            </w:r>
          </w:p>
        </w:tc>
        <w:tc>
          <w:tcPr>
            <w:tcW w:w="2977" w:type="dxa"/>
            <w:noWrap w:val="0"/>
            <w:vAlign w:val="center"/>
          </w:tcPr>
          <w:p w14:paraId="055B083D">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医保局</w:t>
            </w:r>
          </w:p>
        </w:tc>
      </w:tr>
      <w:tr w14:paraId="3816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08CDC872">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189DE99">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16C67DB9">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2E4A427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离休、退休提取住房公积金</w:t>
            </w:r>
          </w:p>
        </w:tc>
        <w:tc>
          <w:tcPr>
            <w:tcW w:w="2977" w:type="dxa"/>
            <w:noWrap w:val="0"/>
            <w:vAlign w:val="center"/>
          </w:tcPr>
          <w:p w14:paraId="4104A947">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地区住房公积金管理中心</w:t>
            </w:r>
          </w:p>
        </w:tc>
      </w:tr>
      <w:tr w14:paraId="010B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1C1A5727">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66C6D2A9">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437ECA0C">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3AA66720">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城镇独生子女父母奖励金</w:t>
            </w:r>
          </w:p>
        </w:tc>
        <w:tc>
          <w:tcPr>
            <w:tcW w:w="2977" w:type="dxa"/>
            <w:noWrap w:val="0"/>
            <w:vAlign w:val="center"/>
          </w:tcPr>
          <w:p w14:paraId="1D7F4D82">
            <w:pPr>
              <w:keepNext w:val="0"/>
              <w:pageBreakBefore w:val="0"/>
              <w:bidi w:val="0"/>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卫生健康委</w:t>
            </w:r>
          </w:p>
        </w:tc>
      </w:tr>
      <w:tr w14:paraId="6C2B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dxa"/>
            <w:vMerge w:val="continue"/>
            <w:noWrap w:val="0"/>
            <w:vAlign w:val="top"/>
          </w:tcPr>
          <w:p w14:paraId="52025D91">
            <w:pPr>
              <w:keepNext w:val="0"/>
              <w:pageBreakBefore w:val="0"/>
              <w:bidi w:val="0"/>
              <w:spacing w:line="440" w:lineRule="exact"/>
              <w:jc w:val="center"/>
              <w:rPr>
                <w:rFonts w:hint="eastAsia" w:ascii="宋体" w:hAnsi="宋体" w:eastAsia="宋体" w:cs="宋体"/>
                <w:kern w:val="0"/>
                <w:sz w:val="21"/>
                <w:szCs w:val="21"/>
              </w:rPr>
            </w:pPr>
          </w:p>
        </w:tc>
        <w:tc>
          <w:tcPr>
            <w:tcW w:w="767" w:type="dxa"/>
            <w:vMerge w:val="continue"/>
            <w:noWrap w:val="0"/>
            <w:vAlign w:val="top"/>
          </w:tcPr>
          <w:p w14:paraId="51833715">
            <w:pPr>
              <w:keepNext w:val="0"/>
              <w:pageBreakBefore w:val="0"/>
              <w:bidi w:val="0"/>
              <w:spacing w:line="440" w:lineRule="exact"/>
              <w:jc w:val="center"/>
              <w:rPr>
                <w:rFonts w:hint="eastAsia" w:ascii="宋体" w:hAnsi="宋体" w:eastAsia="宋体" w:cs="宋体"/>
                <w:kern w:val="0"/>
                <w:sz w:val="21"/>
                <w:szCs w:val="21"/>
              </w:rPr>
            </w:pPr>
          </w:p>
        </w:tc>
        <w:tc>
          <w:tcPr>
            <w:tcW w:w="1850" w:type="dxa"/>
            <w:vMerge w:val="continue"/>
            <w:noWrap w:val="0"/>
            <w:vAlign w:val="top"/>
          </w:tcPr>
          <w:p w14:paraId="079FC084">
            <w:pPr>
              <w:keepNext w:val="0"/>
              <w:pageBreakBefore w:val="0"/>
              <w:bidi w:val="0"/>
              <w:spacing w:line="440" w:lineRule="exact"/>
              <w:jc w:val="center"/>
              <w:rPr>
                <w:rFonts w:hint="eastAsia" w:ascii="宋体" w:hAnsi="宋体" w:eastAsia="宋体" w:cs="宋体"/>
                <w:kern w:val="0"/>
                <w:sz w:val="21"/>
                <w:szCs w:val="21"/>
              </w:rPr>
            </w:pPr>
          </w:p>
        </w:tc>
        <w:tc>
          <w:tcPr>
            <w:tcW w:w="3536" w:type="dxa"/>
            <w:noWrap w:val="0"/>
            <w:vAlign w:val="center"/>
          </w:tcPr>
          <w:p w14:paraId="3216A736">
            <w:pPr>
              <w:keepNext w:val="0"/>
              <w:pageBreakBefore w:val="0"/>
              <w:bidi w:val="0"/>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户籍信息确认</w:t>
            </w:r>
          </w:p>
        </w:tc>
        <w:tc>
          <w:tcPr>
            <w:tcW w:w="2977" w:type="dxa"/>
            <w:noWrap w:val="0"/>
            <w:vAlign w:val="center"/>
          </w:tcPr>
          <w:p w14:paraId="7F608DD7">
            <w:pPr>
              <w:keepNext w:val="0"/>
              <w:pageBreakBefore w:val="0"/>
              <w:bidi w:val="0"/>
              <w:spacing w:line="4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地区</w:t>
            </w:r>
            <w:r>
              <w:rPr>
                <w:rFonts w:hint="eastAsia" w:ascii="宋体" w:hAnsi="宋体" w:eastAsia="宋体" w:cs="宋体"/>
                <w:kern w:val="0"/>
                <w:sz w:val="21"/>
                <w:szCs w:val="21"/>
              </w:rPr>
              <w:t>公安</w:t>
            </w:r>
            <w:r>
              <w:rPr>
                <w:rFonts w:hint="eastAsia" w:ascii="宋体" w:hAnsi="宋体" w:eastAsia="宋体" w:cs="宋体"/>
                <w:kern w:val="0"/>
                <w:sz w:val="21"/>
                <w:szCs w:val="21"/>
                <w:lang w:val="en-US" w:eastAsia="zh-CN"/>
              </w:rPr>
              <w:t>局</w:t>
            </w:r>
          </w:p>
        </w:tc>
      </w:tr>
    </w:tbl>
    <w:p w14:paraId="7BF74BC9">
      <w:pPr>
        <w:rPr>
          <w:rFonts w:hint="default"/>
          <w:lang w:val="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9C4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8EF6677"/>
    <w:rsid w:val="1DDC550B"/>
    <w:rsid w:val="1EA75ED9"/>
    <w:rsid w:val="21372D0F"/>
    <w:rsid w:val="22ED6B5D"/>
    <w:rsid w:val="28B00ECC"/>
    <w:rsid w:val="296E0005"/>
    <w:rsid w:val="2BF15B26"/>
    <w:rsid w:val="2EA50592"/>
    <w:rsid w:val="33203C6F"/>
    <w:rsid w:val="347E742F"/>
    <w:rsid w:val="3615084C"/>
    <w:rsid w:val="3651623A"/>
    <w:rsid w:val="393206E7"/>
    <w:rsid w:val="398F2FFF"/>
    <w:rsid w:val="3A947029"/>
    <w:rsid w:val="448B2102"/>
    <w:rsid w:val="475A0C1C"/>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69A7F65"/>
    <w:rsid w:val="69BB3005"/>
    <w:rsid w:val="6A786C3C"/>
    <w:rsid w:val="6AB5321D"/>
    <w:rsid w:val="70180DF6"/>
    <w:rsid w:val="71F13EFF"/>
    <w:rsid w:val="720A7028"/>
    <w:rsid w:val="72D20FEF"/>
    <w:rsid w:val="742E12AB"/>
    <w:rsid w:val="74F26A6B"/>
    <w:rsid w:val="757302BE"/>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widowControl/>
      <w:spacing w:before="240" w:beforeLines="0" w:after="60" w:afterLines="0"/>
      <w:jc w:val="center"/>
    </w:pPr>
    <w:rPr>
      <w:rFonts w:ascii="Cambria" w:hAnsi="Cambria" w:cs="Cambria"/>
      <w:b/>
      <w:bCs/>
      <w:sz w:val="32"/>
      <w:szCs w:val="32"/>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rPr>
      <w:rFonts w:asci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5">
    <w:name w:val="s1"/>
    <w:basedOn w:val="11"/>
    <w:qFormat/>
    <w:uiPriority w:val="0"/>
    <w:rPr>
      <w:rFonts w:ascii="Helvetica" w:hAnsi="Helvetica" w:cs="Helvetica"/>
      <w:sz w:val="24"/>
      <w:szCs w:val="24"/>
    </w:rPr>
  </w:style>
  <w:style w:type="paragraph" w:customStyle="1" w:styleId="16">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BF663605C4B6455DBA431F9FC0C05DCE_13</vt:lpwstr>
  </property>
  <property fmtid="{D5CDD505-2E9C-101B-9397-08002B2CF9AE}" pid="4" name="KSOTemplateDocerSaveRecord">
    <vt:lpwstr>eyJoZGlkIjoiODA0MGYwZTA3ZjhkZGQ2MDZmM2VkNWJiNGM0NmY1OTkiLCJ1c2VySWQiOiIxMDE3MjYxMTk5In0=</vt:lpwstr>
  </property>
</Properties>
</file>